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맑은 고딕" w:hAnsi="맑은 고딕" w:eastAsia="맑은 고딕" w:cs="맑은 고딕"/>
          <w:b/>
          <w:sz w:val="36"/>
        </w:rPr>
        <w:t>지역 산업구조 특성이 경제성장에 미치는 영향 — 대구판(산업구조지수를 중심으로)</w:t>
      </w:r>
    </w:p>
    <w:p>
      <w:r>
        <w:rPr>
          <w:rFonts w:ascii="맑은 고딕" w:hAnsi="맑은 고딕" w:eastAsia="맑은 고딕" w:cs="맑은 고딕"/>
          <w:color w:val="666666"/>
          <w:sz w:val="18"/>
        </w:rPr>
        <w:t>2026-09-30</w:t>
      </w:r>
    </w:p>
    <w:p>
      <w:r>
        <w:rPr>
          <w:rFonts w:ascii="맑은 고딕" w:hAnsi="맑은 고딕" w:eastAsia="맑은 고딕" w:cs="맑은 고딕"/>
          <w:b/>
          <w:sz w:val="20"/>
        </w:rPr>
        <w:t xml:space="preserve">핵심 문장  </w:t>
      </w:r>
      <w:r>
        <w:rPr>
          <w:rFonts w:ascii="맑은 고딕" w:hAnsi="맑은 고딕" w:eastAsia="맑은 고딕" w:cs="맑은 고딕"/>
          <w:sz w:val="20"/>
        </w:rPr>
        <w:t>대구 산업구조는 부가가치가 여러 업종에 분산돼 산업집중도가 17개 시도 중 16위이고, 특화산업은 섬유·보건·교육 등이며 고부가 3부문(전기·전자·정밀기기, 정보통신, 금융보험) 비중 14.0%는 전국 20.2%보다 낮다. 2015~2024년 연평균 성장률 1.15%는 전국 2.47%, 6개 광역시 평균 1.88%를 밑돈다.</w:t>
      </w:r>
    </w:p>
    <w:p>
      <w:pPr>
        <w:ind w:left="340"/>
        <w:pBdr>
          <w:left w:val="single" w:sz="18" w:space="8" w:color="3B6EA5"/>
        </w:pBdr>
      </w:pPr>
      <w:r>
        <w:rPr>
          <w:rFonts w:ascii="맑은 고딕" w:hAnsi="맑은 고딕" w:eastAsia="맑은 고딕" w:cs="맑은 고딕"/>
        </w:rPr>
        <w:t xml:space="preserve">지역 산업구조를 입지계수·산업집중도·산업구조 변화속도로 진단하는 보고서 형식을 빌려 </w:t>
      </w:r>
      <w:r>
        <w:rPr>
          <w:rFonts w:ascii="맑은 고딕" w:hAnsi="맑은 고딕" w:eastAsia="맑은 고딕" w:cs="맑은 고딕"/>
          <w:b/>
        </w:rPr>
        <w:t>대구</w:t>
      </w:r>
      <w:r>
        <w:rPr>
          <w:rFonts w:ascii="맑은 고딕" w:hAnsi="맑은 고딕" w:eastAsia="맑은 고딕" w:cs="맑은 고딕"/>
        </w:rPr>
        <w:t>를 같은 방법으로 계산한 보고서다. 자료는 KOSIS 의 지역소득·경제활동인구조사·전국사업체조사·지역별고용조사·소매판매액지수·주민등록인구현황과 관세청 기업무역활동통계를 활용했다.</w:t>
      </w:r>
    </w:p>
    <w:p>
      <w:pPr>
        <w:pStyle w:val="Heading1"/>
      </w:pPr>
      <w:r>
        <w:rPr>
          <w:rFonts w:ascii="맑은 고딕" w:hAnsi="맑은 고딕" w:eastAsia="맑은 고딕" w:cs="맑은 고딕"/>
        </w:rPr>
        <w:t>[요 약]</w:t>
      </w:r>
    </w:p>
    <w:p>
      <w:r>
        <w:rPr>
          <w:rFonts w:ascii="맑은 고딕" w:hAnsi="맑은 고딕" w:eastAsia="맑은 고딕" w:cs="맑은 고딕"/>
          <w:b/>
        </w:rPr>
        <w:t>1 [검토배경] 최근 지역경제 산업구조는 기존 주력산업의 쇠퇴와 첨단산업* 중심의 생태계 재편이라는 전환기에 있다.</w:t>
      </w:r>
      <w:r>
        <w:rPr>
          <w:rFonts w:ascii="맑은 고딕" w:hAnsi="맑은 고딕" w:eastAsia="맑은 고딕" w:cs="맑은 고딕"/>
        </w:rPr>
        <w:t xml:space="preserve"> 첨단·지식기반 산업구조로 옮겨 간 지역은 성장세가 양호한 반면 산업구조가 굳어진 지역은 낮은 성장에 머물러 있다. 이 보고서는 지역경제의 양극화와 지속가능한 성장을 산업구조 변화(입지계수·산업집중도·산업구조 변화속도)의 관점에서 살펴본다.</w:t>
      </w:r>
    </w:p>
    <w:p>
      <w:r>
        <w:rPr>
          <w:rFonts w:ascii="맑은 고딕" w:hAnsi="맑은 고딕" w:eastAsia="맑은 고딕" w:cs="맑은 고딕"/>
        </w:rPr>
        <w:t>* OECD 기준 고부가가치산업과 국가데이터처 「지역소득」 분류 기준을 맞춰 전기·전자 및 정밀기기 제조업, 정보통신업, 금융 및 보험업으로 정의</w:t>
      </w:r>
    </w:p>
    <w:p>
      <w:r>
        <w:rPr>
          <w:rFonts w:ascii="맑은 고딕" w:hAnsi="맑은 고딕" w:eastAsia="맑은 고딕" w:cs="맑은 고딕"/>
          <w:b/>
        </w:rPr>
        <w:t>2 [지역 산업구조와 경제성장 간 관계] 산업구조가 전통산업에 고착화된 지역은 저성장한 반면, 집중도가 상승하거나 고부가가치 구조로 재편되고 있는 지역은 비교적 양호한 성장세를 보였다.</w:t>
      </w:r>
      <w:r>
        <w:rPr>
          <w:rFonts w:ascii="맑은 고딕" w:hAnsi="맑은 고딕" w:eastAsia="맑은 고딕" w:cs="맑은 고딕"/>
        </w:rPr>
        <w:t xml:space="preserve"> ① 경제성장률과 특화산업 고착화 수준을 교차하면 4개 유형(구조재편형 고성장·경로강화형 고성장·구조고착형 저성장·구조재편형 저성장)으로 나뉘는데, 대구(성장률 1.15%, 고착화 0.977)는 고착화가 17개 시도 평균(0.959)보다 높고 성장률이 전국 평균(2.47%)보다 낮은 「구조고착형 저성장」 사분면에 경남·울산·전남과 함께 위치해 있다. ② 산업집중도의 상승은 경제성장(상관계수 0.62)·인구 성장(0.40)과 양(+)의 상관관계를 보이며, 집적경제 효과(지식 파급, 거래비용 절감 등)로 설명되곤 한다.</w:t>
      </w:r>
      <w:r>
        <w:rPr>
          <w:rFonts w:ascii="맑은 고딕" w:hAnsi="맑은 고딕" w:eastAsia="맑은 고딕" w:cs="맑은 고딕"/>
          <w:vertAlign w:val="superscript"/>
        </w:rPr>
        <w:t>8)</w:t>
      </w:r>
      <w:r>
        <w:rPr>
          <w:rFonts w:ascii="맑은 고딕" w:hAnsi="맑은 고딕" w:eastAsia="맑은 고딕" w:cs="맑은 고딕"/>
        </w:rPr>
        <w:t xml:space="preserve"> 대구의 산업집중도는 2015~2024년 연평균 0.40% 하락했다(17개 시도 평균 -0.08%). ③ 산업구조 변화속도 전체는 성장과 뚜렷한 선형관계가 없었으나, 고부가 산업구조로의 변화속도가 빠른 지역은 양호한 성장세를 보였다. 대구의 고부가 변화속도 0.0036은 17개 시도 평균 0.0045보다 낮다.</w:t>
      </w:r>
    </w:p>
    <w:p>
      <w:r>
        <w:rPr>
          <w:rFonts w:ascii="맑은 고딕" w:hAnsi="맑은 고딕" w:eastAsia="맑은 고딕" w:cs="맑은 고딕"/>
          <w:b/>
        </w:rPr>
        <w:t>대구는 고부가 부문 비중·고부가 변화속도·산업집중도가 모두 17개 시도 평균에 못 미치고, 같은 기간 성장률도 전국 평균을 밑돈다.</w:t>
      </w:r>
      <w:r>
        <w:rPr>
          <w:rFonts w:ascii="맑은 고딕" w:hAnsi="맑은 고딕" w:eastAsia="맑은 고딕" w:cs="맑은 고딕"/>
        </w:rPr>
        <w:t xml:space="preserve"> 대구는 연평균 GRDP 성장률(1.15%)과 노동생산성 증가율(1.55%)이 전국(2.47%·1.59%) 대비 낮고, 산업집중도(619)는 17개 시도 중 16번째로 부가가치가 여러 업종에 분산돼 있다. 특화산업은 섬유·의복·가죽(입지계수 2.41), 보건·사회복지(1.70), 교육(1.59) 등이고 고부가 3부문 비중은 14.0%로 전국(20.2%)보다 낮다.</w:t>
      </w:r>
    </w:p>
    <w:p>
      <w:pPr>
        <w:keepNext/>
        <w:jc w:val="center"/>
      </w:pPr>
      <w:r>
        <w:drawing>
          <wp:inline xmlns:a="http://schemas.openxmlformats.org/drawingml/2006/main" xmlns:pic="http://schemas.openxmlformats.org/drawingml/2006/picture">
            <wp:extent cx="5760000" cy="3456000"/>
            <wp:docPr id="1" name="Picture 1" descr="/figures/2026-09-30-policy-structure-daegu/s1.svg" title="17개 시도의 2015~24년 연평균 경제성장률과 2015·2024년 입지계수 상관계수 산점도, 대구 강조"/>
            <wp:cNvGraphicFramePr>
              <a:graphicFrameLocks noChangeAspect="1"/>
            </wp:cNvGraphicFramePr>
            <a:graphic>
              <a:graphicData uri="http://schemas.openxmlformats.org/drawingml/2006/picture">
                <pic:pic>
                  <pic:nvPicPr>
                    <pic:cNvPr id="0" name="s1.png"/>
                    <pic:cNvPicPr/>
                  </pic:nvPicPr>
                  <pic:blipFill>
                    <a:blip r:embed="rId9"/>
                    <a:stretch>
                      <a:fillRect/>
                    </a:stretch>
                  </pic:blipFill>
                  <pic:spPr>
                    <a:xfrm>
                      <a:off x="0" y="0"/>
                      <a:ext cx="5760000" cy="3456000"/>
                    </a:xfrm>
                    <a:prstGeom prst="rect"/>
                  </pic:spPr>
                </pic:pic>
              </a:graphicData>
            </a:graphic>
          </wp:inline>
        </w:drawing>
      </w:r>
    </w:p>
    <w:p>
      <w:pPr>
        <w:pStyle w:val="Caption"/>
        <w:jc w:val="center"/>
      </w:pPr>
      <w:r>
        <w:rPr>
          <w:rFonts w:ascii="맑은 고딕" w:hAnsi="맑은 고딕" w:eastAsia="맑은 고딕" w:cs="맑은 고딕"/>
          <w:color w:val="444444"/>
          <w:sz w:val="18"/>
        </w:rPr>
        <w:t>[요약-1] 경제성장률</w:t>
      </w:r>
      <w:r>
        <w:rPr>
          <w:rFonts w:ascii="맑은 고딕" w:hAnsi="맑은 고딕" w:eastAsia="맑은 고딕" w:cs="맑은 고딕"/>
          <w:color w:val="444444"/>
          <w:sz w:val="18"/>
          <w:vertAlign w:val="superscript"/>
        </w:rPr>
        <w:t>1)</w:t>
      </w:r>
      <w:r>
        <w:rPr>
          <w:rFonts w:ascii="맑은 고딕" w:hAnsi="맑은 고딕" w:eastAsia="맑은 고딕" w:cs="맑은 고딕"/>
          <w:color w:val="444444"/>
          <w:sz w:val="18"/>
        </w:rPr>
        <w:t>과 산업구조 고착화 수준</w:t>
      </w:r>
      <w:r>
        <w:rPr>
          <w:rFonts w:ascii="맑은 고딕" w:hAnsi="맑은 고딕" w:eastAsia="맑은 고딕" w:cs="맑은 고딕"/>
          <w:color w:val="444444"/>
          <w:sz w:val="18"/>
          <w:vertAlign w:val="superscript"/>
        </w:rPr>
        <w:t>2)</w:t>
      </w:r>
      <w:r>
        <w:rPr>
          <w:rFonts w:ascii="맑은 고딕" w:hAnsi="맑은 고딕" w:eastAsia="맑은 고딕" w:cs="맑은 고딕"/>
          <w:color w:val="444444"/>
          <w:sz w:val="18"/>
        </w:rPr>
        <w:t xml:space="preserve"> 간 관계 — 주: 1) 2015~24년 연평균 실질 GRDP 성장률 2) 2015년과 2024년 입지계수의 상관값. 자료: 국가데이터처, 자체 계산</w:t>
      </w:r>
    </w:p>
    <w:p>
      <w:pPr>
        <w:keepNext/>
        <w:jc w:val="center"/>
      </w:pPr>
      <w:r>
        <w:drawing>
          <wp:inline xmlns:a="http://schemas.openxmlformats.org/drawingml/2006/main" xmlns:pic="http://schemas.openxmlformats.org/drawingml/2006/picture">
            <wp:extent cx="5760000" cy="3456000"/>
            <wp:docPr id="2" name="Picture 2" descr="/figures/2026-09-30-policy-structure-daegu/s2.svg" title="17개 시도의 연평균 경제성장률과 산업집중도 변화율 산점도, 대구 강조"/>
            <wp:cNvGraphicFramePr>
              <a:graphicFrameLocks noChangeAspect="1"/>
            </wp:cNvGraphicFramePr>
            <a:graphic>
              <a:graphicData uri="http://schemas.openxmlformats.org/drawingml/2006/picture">
                <pic:pic>
                  <pic:nvPicPr>
                    <pic:cNvPr id="0" name="s2.png"/>
                    <pic:cNvPicPr/>
                  </pic:nvPicPr>
                  <pic:blipFill>
                    <a:blip r:embed="rId10"/>
                    <a:stretch>
                      <a:fillRect/>
                    </a:stretch>
                  </pic:blipFill>
                  <pic:spPr>
                    <a:xfrm>
                      <a:off x="0" y="0"/>
                      <a:ext cx="5760000" cy="3456000"/>
                    </a:xfrm>
                    <a:prstGeom prst="rect"/>
                  </pic:spPr>
                </pic:pic>
              </a:graphicData>
            </a:graphic>
          </wp:inline>
        </w:drawing>
      </w:r>
    </w:p>
    <w:p>
      <w:pPr>
        <w:pStyle w:val="Caption"/>
        <w:jc w:val="center"/>
      </w:pPr>
      <w:r>
        <w:rPr>
          <w:rFonts w:ascii="맑은 고딕" w:hAnsi="맑은 고딕" w:eastAsia="맑은 고딕" w:cs="맑은 고딕"/>
          <w:color w:val="444444"/>
          <w:sz w:val="18"/>
        </w:rPr>
        <w:t>[요약-2] 경제성장률</w:t>
      </w:r>
      <w:r>
        <w:rPr>
          <w:rFonts w:ascii="맑은 고딕" w:hAnsi="맑은 고딕" w:eastAsia="맑은 고딕" w:cs="맑은 고딕"/>
          <w:color w:val="444444"/>
          <w:sz w:val="18"/>
          <w:vertAlign w:val="superscript"/>
        </w:rPr>
        <w:t>1)</w:t>
      </w:r>
      <w:r>
        <w:rPr>
          <w:rFonts w:ascii="맑은 고딕" w:hAnsi="맑은 고딕" w:eastAsia="맑은 고딕" w:cs="맑은 고딕"/>
          <w:color w:val="444444"/>
          <w:sz w:val="18"/>
        </w:rPr>
        <w:t>과 산업집중도 변화율</w:t>
      </w:r>
      <w:r>
        <w:rPr>
          <w:rFonts w:ascii="맑은 고딕" w:hAnsi="맑은 고딕" w:eastAsia="맑은 고딕" w:cs="맑은 고딕"/>
          <w:color w:val="444444"/>
          <w:sz w:val="18"/>
          <w:vertAlign w:val="superscript"/>
        </w:rPr>
        <w:t>2)</w:t>
      </w:r>
      <w:r>
        <w:rPr>
          <w:rFonts w:ascii="맑은 고딕" w:hAnsi="맑은 고딕" w:eastAsia="맑은 고딕" w:cs="맑은 고딕"/>
          <w:color w:val="444444"/>
          <w:sz w:val="18"/>
        </w:rPr>
        <w:t xml:space="preserve"> 간 관계 — 주: 1) 2015~24년 연평균 경제성장률 2) 2015~24년 연평균 산업집중도 변화율. 자료: 국가데이터처, 자체 계산</w:t>
      </w:r>
    </w:p>
    <w:p>
      <w:r>
        <w:rPr>
          <w:rFonts w:ascii="맑은 고딕" w:hAnsi="맑은 고딕" w:eastAsia="맑은 고딕" w:cs="맑은 고딕"/>
          <w:b/>
        </w:rPr>
        <w:t>3 [지역 산업구조 특성이 경제성장에 미치는 영향] 특화수준·산업집중도·변화속도가 경제성장에 미치는 효과를 17개 시도 연간 패널(2016~2024년)로 추정했다.</w:t>
      </w:r>
      <w:r>
        <w:rPr>
          <w:rFonts w:ascii="맑은 고딕" w:hAnsi="맑은 고딕" w:eastAsia="맑은 고딕" w:cs="맑은 고딕"/>
        </w:rPr>
        <w:t xml:space="preserve"> 산업집중도가 1% 오르면 실질 GRDP 와 노동생산성 증가율이 각각 0.20%p·0.21%p, 수출 증가율이 0.90%p 높아지는 것으로 추정됐다(모두 1% 유의수준). 특화산업 비중은 어느 종속변수에서도 유의하지 않았고, 변화속도는 수출에서만 양(+)으로 유의했으며, 소매판매는 세 변수 모두와 관계가 없었다. 원보고서가 분기 자료로 확인한 특화산업 비중의 양(+)의 효과와 변화속도의 음(-)의 효과는 연간 자료에서는 나타나지 않았다.</w:t>
      </w:r>
    </w:p>
    <w:p>
      <w:r>
        <w:rPr>
          <w:rFonts w:ascii="맑은 고딕" w:hAnsi="맑은 고딕" w:eastAsia="맑은 고딕" w:cs="맑은 고딕"/>
          <w:b/>
        </w:rPr>
        <w:t>4 [시사점] 산업구조 진단 결과를 정책에 쓰려면 대내외 비교우위가 뚜렷한 고부가 특화산업이 무엇인지부터 확인해야 한다.</w:t>
      </w:r>
      <w:r>
        <w:rPr>
          <w:rFonts w:ascii="맑은 고딕" w:hAnsi="맑은 고딕" w:eastAsia="맑은 고딕" w:cs="맑은 고딕"/>
        </w:rPr>
        <w:t xml:space="preserve"> 대구는 부가가치 기준으로는 고부가 3부문의 입지계수가 모두 1 미만(전기·전자·정밀기기 0.41, 정보통신 0.64)이고 금융·보험(1.19)만 1을 넘는다. 금융·보험을 빼면 특화 부문(보건·교육·섬유)과 고부가 부문이 겹치지 않는다. 앵커기업 중심의 전·후방 밸류체인 집적으로 산업집중도를 높이는 길을 택한다면 어느 부문을 축으로 삼을지가 먼저 정해져야 하며, 그 판단 재료는 표 2-1·그림 2-13(특화산업)과 그림 2-21(고부가 변화속도)에 있다.</w:t>
      </w:r>
    </w:p>
    <w:p>
      <w:r>
        <w:rPr>
          <w:rFonts w:ascii="맑은 고딕" w:hAnsi="맑은 고딕" w:eastAsia="맑은 고딕" w:cs="맑은 고딕"/>
          <w:b/>
        </w:rPr>
        <w:t>특히 대구의 경우 고부가 3부문 비중이 2015년 13.3%에서 2024년 14.0%로 0.7%p 늘어나는 데 그쳐 전국(18.8%→20.2%)과의 격차가 5.5%p에서 6.2%p로 벌어졌다.</w:t>
      </w:r>
      <w:r>
        <w:rPr>
          <w:rFonts w:ascii="맑은 고딕" w:hAnsi="맑은 고딕" w:eastAsia="맑은 고딕" w:cs="맑은 고딕"/>
        </w:rPr>
        <w:t xml:space="preserve"> 제조업 안에서는 전기·전자·정밀기기 비중이 14.9%에서 18.2%로 늘고 섬유·의복·가죽이 13.3%에서 8.2%로 줄어 재편이 진행 중이나, 제조업 전체 비중(21.3%)이 전국(28.6%)보다 낮아 지역 전체 지표에 미치는 영향이 작다. 재편 과정의 충격(사양산업 근로자의 직무 전환 등)을 완화할 연착륙 지원도 검토 항목이며, 대구의 대상 규모(섬유·의복·가죽 부가가치 비중 1.7%, 기업 사전 섬유·패션 그룹 1,716곳)는 Ⅳ장에 적었다.</w:t>
      </w:r>
    </w:p>
    <w:p>
      <w:pPr>
        <w:pStyle w:val="Heading1"/>
      </w:pPr>
      <w:r>
        <w:rPr>
          <w:rFonts w:ascii="맑은 고딕" w:hAnsi="맑은 고딕" w:eastAsia="맑은 고딕" w:cs="맑은 고딕"/>
        </w:rPr>
        <w:t>Ⅰ. 검토배경</w:t>
      </w:r>
    </w:p>
    <w:p>
      <w:r>
        <w:rPr>
          <w:rFonts w:ascii="맑은 고딕" w:hAnsi="맑은 고딕" w:eastAsia="맑은 고딕" w:cs="맑은 고딕"/>
          <w:b/>
        </w:rPr>
        <w:t>1. 최근 지역경제 산업구조는 전통 주력산업의 쇠퇴와 첨단산업 중심의 생태계 재편이라는 전환기에 있다.</w:t>
      </w:r>
      <w:r>
        <w:rPr>
          <w:rFonts w:ascii="맑은 고딕" w:hAnsi="맑은 고딕" w:eastAsia="맑은 고딕" w:cs="맑은 고딕"/>
        </w:rPr>
        <w:t xml:space="preserve"> 일부 지역은 기존 산업의 경쟁력이 약해졌음에도 이를 대체할 새로운 고부가 산업으로 자원과 역량이 옮겨 가지 못한 채 산업구조가 장기간 고착되는 문제에 직면해 있다.</w:t>
      </w:r>
    </w:p>
    <w:p>
      <w:r>
        <w:rPr>
          <w:rFonts w:ascii="맑은 고딕" w:hAnsi="맑은 고딕" w:eastAsia="맑은 고딕" w:cs="맑은 고딕"/>
          <w:b/>
        </w:rPr>
        <w:t>2. 이러한 산업구조 변화에 대한 대응 차이는 지역 간 경제성장 격차로 나타나고 있다.</w:t>
      </w:r>
      <w:r>
        <w:rPr>
          <w:rFonts w:ascii="맑은 고딕" w:hAnsi="맑은 고딕" w:eastAsia="맑은 고딕" w:cs="맑은 고딕"/>
        </w:rPr>
        <w:t xml:space="preserve"> 2015~2024년 첨단·지식기반 산업(고부가 3부문)의 실질 부가가치 연평균 성장률은 경기(8.5%)·세종(6.9%)·인천(6.5%)이 높고 경북(-0.2%)·경남(2.9%)·제주(3.0%)·부산(3.3%)이 낮으며, 대구는 3.4%로 전국(5.6%)보다 낮다. 같은 기간 연평균 GRDP 성장률은 세종(4.1%)·경기(3.9%)·인천(3.3%)·충북(3.3%)이 높고 울산(0.4%)·경북(0.6%)·경남(1.1%)·대구(1.2%)가 낮다. 고부가 부문 성장률 상위 3곳(경기·세종·인천)은 GRDP 성장률 상위 4곳에 모두 들어 있고, 고부가 부문 성장률이 가장 낮은 경북은 GRDP 성장률도 끝에서 두 번째다.</w:t>
      </w:r>
    </w:p>
    <w:p>
      <w:pPr>
        <w:keepNext/>
        <w:jc w:val="center"/>
      </w:pPr>
      <w:r>
        <w:drawing>
          <wp:inline xmlns:a="http://schemas.openxmlformats.org/drawingml/2006/main" xmlns:pic="http://schemas.openxmlformats.org/drawingml/2006/picture">
            <wp:extent cx="5760000" cy="4780800"/>
            <wp:docPr id="3" name="Picture 3" descr="/figures/2026-09-30-policy-structure-daegu/fig1-1.svg" title="지역별 첨단·지식기반 산업 실질 부가가치 연평균 성장률 가로 막대"/>
            <wp:cNvGraphicFramePr>
              <a:graphicFrameLocks noChangeAspect="1"/>
            </wp:cNvGraphicFramePr>
            <a:graphic>
              <a:graphicData uri="http://schemas.openxmlformats.org/drawingml/2006/picture">
                <pic:pic>
                  <pic:nvPicPr>
                    <pic:cNvPr id="0" name="fig1-1.png"/>
                    <pic:cNvPicPr/>
                  </pic:nvPicPr>
                  <pic:blipFill>
                    <a:blip r:embed="rId11"/>
                    <a:stretch>
                      <a:fillRect/>
                    </a:stretch>
                  </pic:blipFill>
                  <pic:spPr>
                    <a:xfrm>
                      <a:off x="0" y="0"/>
                      <a:ext cx="5760000" cy="4780800"/>
                    </a:xfrm>
                    <a:prstGeom prst="rect"/>
                  </pic:spPr>
                </pic:pic>
              </a:graphicData>
            </a:graphic>
          </wp:inline>
        </w:drawing>
      </w:r>
    </w:p>
    <w:p>
      <w:pPr>
        <w:pStyle w:val="Caption"/>
        <w:jc w:val="center"/>
      </w:pPr>
      <w:r>
        <w:rPr>
          <w:rFonts w:ascii="맑은 고딕" w:hAnsi="맑은 고딕" w:eastAsia="맑은 고딕" w:cs="맑은 고딕"/>
          <w:color w:val="444444"/>
          <w:sz w:val="18"/>
        </w:rPr>
        <w:t>[그림 1-1] 지역별 첨단·지식기반 산업</w:t>
      </w:r>
      <w:r>
        <w:rPr>
          <w:rFonts w:ascii="맑은 고딕" w:hAnsi="맑은 고딕" w:eastAsia="맑은 고딕" w:cs="맑은 고딕"/>
          <w:color w:val="444444"/>
          <w:sz w:val="18"/>
          <w:vertAlign w:val="superscript"/>
        </w:rPr>
        <w:t>1)</w:t>
      </w:r>
      <w:r>
        <w:rPr>
          <w:rFonts w:ascii="맑은 고딕" w:hAnsi="맑은 고딕" w:eastAsia="맑은 고딕" w:cs="맑은 고딕"/>
          <w:color w:val="444444"/>
          <w:sz w:val="18"/>
        </w:rPr>
        <w:t xml:space="preserve"> 성장률</w:t>
      </w:r>
      <w:r>
        <w:rPr>
          <w:rFonts w:ascii="맑은 고딕" w:hAnsi="맑은 고딕" w:eastAsia="맑은 고딕" w:cs="맑은 고딕"/>
          <w:color w:val="444444"/>
          <w:sz w:val="18"/>
          <w:vertAlign w:val="superscript"/>
        </w:rPr>
        <w:t>2)</w:t>
      </w:r>
      <w:r>
        <w:rPr>
          <w:rFonts w:ascii="맑은 고딕" w:hAnsi="맑은 고딕" w:eastAsia="맑은 고딕" w:cs="맑은 고딕"/>
          <w:color w:val="444444"/>
          <w:sz w:val="18"/>
        </w:rPr>
        <w:t xml:space="preserve"> — 주: 1) 금융·보험업, 정보통신업, 전기·전자 및 정밀기기 제조업 2) 실질 부가가치의 연평균(2015~2024년) 성장률. 자료: 국가데이터처, 자체 계산</w:t>
      </w:r>
    </w:p>
    <w:p>
      <w:pPr>
        <w:keepNext/>
        <w:jc w:val="center"/>
      </w:pPr>
      <w:r>
        <w:drawing>
          <wp:inline xmlns:a="http://schemas.openxmlformats.org/drawingml/2006/main" xmlns:pic="http://schemas.openxmlformats.org/drawingml/2006/picture">
            <wp:extent cx="5760000" cy="5011200"/>
            <wp:docPr id="4" name="Picture 4" descr="/figures/2026-09-30-policy-structure-daegu/fig1-2.svg" title="지역별 연평균 실질 GRDP 성장률 가로 막대, 전국 포함"/>
            <wp:cNvGraphicFramePr>
              <a:graphicFrameLocks noChangeAspect="1"/>
            </wp:cNvGraphicFramePr>
            <a:graphic>
              <a:graphicData uri="http://schemas.openxmlformats.org/drawingml/2006/picture">
                <pic:pic>
                  <pic:nvPicPr>
                    <pic:cNvPr id="0" name="fig1-2.png"/>
                    <pic:cNvPicPr/>
                  </pic:nvPicPr>
                  <pic:blipFill>
                    <a:blip r:embed="rId12"/>
                    <a:stretch>
                      <a:fillRect/>
                    </a:stretch>
                  </pic:blipFill>
                  <pic:spPr>
                    <a:xfrm>
                      <a:off x="0" y="0"/>
                      <a:ext cx="5760000" cy="5011200"/>
                    </a:xfrm>
                    <a:prstGeom prst="rect"/>
                  </pic:spPr>
                </pic:pic>
              </a:graphicData>
            </a:graphic>
          </wp:inline>
        </w:drawing>
      </w:r>
    </w:p>
    <w:p>
      <w:pPr>
        <w:pStyle w:val="Caption"/>
        <w:jc w:val="center"/>
      </w:pPr>
      <w:r>
        <w:rPr>
          <w:rFonts w:ascii="맑은 고딕" w:hAnsi="맑은 고딕" w:eastAsia="맑은 고딕" w:cs="맑은 고딕"/>
          <w:color w:val="444444"/>
          <w:sz w:val="18"/>
        </w:rPr>
        <w:t>[그림 1-2] 지역별 연평균 성장률</w:t>
      </w:r>
      <w:r>
        <w:rPr>
          <w:rFonts w:ascii="맑은 고딕" w:hAnsi="맑은 고딕" w:eastAsia="맑은 고딕" w:cs="맑은 고딕"/>
          <w:color w:val="444444"/>
          <w:sz w:val="18"/>
          <w:vertAlign w:val="superscript"/>
        </w:rPr>
        <w:t>1)</w:t>
      </w:r>
      <w:r>
        <w:rPr>
          <w:rFonts w:ascii="맑은 고딕" w:hAnsi="맑은 고딕" w:eastAsia="맑은 고딕" w:cs="맑은 고딕"/>
          <w:color w:val="444444"/>
          <w:sz w:val="18"/>
        </w:rPr>
        <w:t xml:space="preserve"> — 주: 1) 지역내총생산(실질)의 연평균(2015~2024년) 성장률. 자료: 국가데이터처</w:t>
      </w:r>
    </w:p>
    <w:p>
      <w:r>
        <w:rPr>
          <w:rFonts w:ascii="맑은 고딕" w:hAnsi="맑은 고딕" w:eastAsia="맑은 고딕" w:cs="맑은 고딕"/>
          <w:b/>
        </w:rPr>
        <w:t>3. 이 보고서는 지역경제의 성장 격차와 지속가능 성장을 산업구조 변화의 관점에서 살펴본다.</w:t>
      </w:r>
      <w:r>
        <w:rPr>
          <w:rFonts w:ascii="맑은 고딕" w:hAnsi="맑은 고딕" w:eastAsia="맑은 고딕" w:cs="맑은 고딕"/>
        </w:rPr>
        <w:t xml:space="preserve"> 지역별 산업생태계의 특화수준·집중도·변화속도를 정량화하고, 이 지표들이 경제성장(GRDP·노동생산성)에 미치는 효과를 17개 시도 패널로 분석해 대구의 위치를 확인한다.</w:t>
      </w:r>
    </w:p>
    <w:p>
      <w:r>
        <w:rPr>
          <w:rFonts w:ascii="맑은 고딕" w:hAnsi="맑은 고딕" w:eastAsia="맑은 고딕" w:cs="맑은 고딕"/>
          <w:b/>
        </w:rPr>
        <w:t>표 1-3. 연구의 배경 및 개요</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E8ECF2"/>
          </w:tcPr>
          <w:p>
            <w:pPr>
              <w:spacing w:after="0" w:line="276" w:lineRule="auto"/>
              <w:jc w:val="center"/>
            </w:pPr>
            <w:r>
              <w:rPr>
                <w:rFonts w:ascii="맑은 고딕" w:hAnsi="맑은 고딕" w:eastAsia="맑은 고딕" w:cs="맑은 고딕"/>
                <w:b/>
                <w:sz w:val="18"/>
              </w:rPr>
              <w:t>산업구조 전환기</w:t>
            </w:r>
          </w:p>
        </w:tc>
        <w:tc>
          <w:tcPr>
            <w:tcW w:type="dxa" w:w="3137"/>
            <w:shd w:val="clear" w:color="auto" w:fill="E8ECF2"/>
          </w:tcPr>
          <w:p>
            <w:pPr>
              <w:spacing w:after="0" w:line="276" w:lineRule="auto"/>
              <w:jc w:val="center"/>
            </w:pPr>
            <w:r>
              <w:rPr>
                <w:rFonts w:ascii="맑은 고딕" w:hAnsi="맑은 고딕" w:eastAsia="맑은 고딕" w:cs="맑은 고딕"/>
                <w:b/>
                <w:sz w:val="18"/>
              </w:rPr>
              <w:t>산업구조 3대 특성</w:t>
            </w:r>
          </w:p>
        </w:tc>
        <w:tc>
          <w:tcPr>
            <w:tcW w:type="dxa" w:w="3137"/>
            <w:shd w:val="clear" w:color="auto" w:fill="E8ECF2"/>
          </w:tcPr>
          <w:p>
            <w:pPr>
              <w:spacing w:after="0" w:line="276" w:lineRule="auto"/>
              <w:jc w:val="center"/>
            </w:pPr>
            <w:r>
              <w:rPr>
                <w:rFonts w:ascii="맑은 고딕" w:hAnsi="맑은 고딕" w:eastAsia="맑은 고딕" w:cs="맑은 고딕"/>
                <w:b/>
                <w:sz w:val="18"/>
              </w:rPr>
              <w:t>지역경제 성과</w:t>
            </w:r>
          </w:p>
        </w:tc>
      </w:tr>
      <w:tr>
        <w:tc>
          <w:tcPr>
            <w:tcW w:type="dxa" w:w="3137"/>
          </w:tcPr>
          <w:p>
            <w:pPr>
              <w:spacing w:after="0" w:line="276" w:lineRule="auto"/>
            </w:pPr>
            <w:r>
              <w:rPr>
                <w:rFonts w:ascii="맑은 고딕" w:hAnsi="맑은 고딕" w:eastAsia="맑은 고딕" w:cs="맑은 고딕"/>
                <w:sz w:val="18"/>
              </w:rPr>
              <w:t>전통 주력산업의 경쟁력 약화 · 첨단·지식기반 산업 중심의 재편 · 구조전환 수준 → 경제성장 격차</w:t>
            </w:r>
          </w:p>
        </w:tc>
        <w:tc>
          <w:tcPr>
            <w:tcW w:type="dxa" w:w="3137"/>
          </w:tcPr>
          <w:p>
            <w:pPr>
              <w:spacing w:after="0" w:line="276" w:lineRule="auto"/>
            </w:pPr>
            <w:r>
              <w:rPr>
                <w:rFonts w:ascii="맑은 고딕" w:hAnsi="맑은 고딕" w:eastAsia="맑은 고딕" w:cs="맑은 고딕"/>
                <w:b/>
                <w:sz w:val="18"/>
              </w:rPr>
              <w:t>특화수준</w:t>
            </w:r>
            <w:r>
              <w:rPr>
                <w:rFonts w:ascii="맑은 고딕" w:hAnsi="맑은 고딕" w:eastAsia="맑은 고딕" w:cs="맑은 고딕"/>
                <w:sz w:val="18"/>
              </w:rPr>
              <w:t xml:space="preserve">(산업의 비교우위, 전국 대비) · </w:t>
            </w:r>
            <w:r>
              <w:rPr>
                <w:rFonts w:ascii="맑은 고딕" w:hAnsi="맑은 고딕" w:eastAsia="맑은 고딕" w:cs="맑은 고딕"/>
                <w:b/>
                <w:sz w:val="18"/>
              </w:rPr>
              <w:t>산업집중도</w:t>
            </w:r>
            <w:r>
              <w:rPr>
                <w:rFonts w:ascii="맑은 고딕" w:hAnsi="맑은 고딕" w:eastAsia="맑은 고딕" w:cs="맑은 고딕"/>
                <w:sz w:val="18"/>
              </w:rPr>
              <w:t xml:space="preserve">(일부 산업으로의 집중 정도) · </w:t>
            </w:r>
            <w:r>
              <w:rPr>
                <w:rFonts w:ascii="맑은 고딕" w:hAnsi="맑은 고딕" w:eastAsia="맑은 고딕" w:cs="맑은 고딕"/>
                <w:b/>
                <w:sz w:val="18"/>
              </w:rPr>
              <w:t>산업구조 변화속도</w:t>
            </w:r>
            <w:r>
              <w:rPr>
                <w:rFonts w:ascii="맑은 고딕" w:hAnsi="맑은 고딕" w:eastAsia="맑은 고딕" w:cs="맑은 고딕"/>
                <w:sz w:val="18"/>
              </w:rPr>
              <w:t>(구조 전환의 빠르기)</w:t>
            </w:r>
          </w:p>
        </w:tc>
        <w:tc>
          <w:tcPr>
            <w:tcW w:type="dxa" w:w="3137"/>
          </w:tcPr>
          <w:p>
            <w:pPr>
              <w:spacing w:after="0" w:line="276" w:lineRule="auto"/>
            </w:pPr>
            <w:r>
              <w:rPr>
                <w:rFonts w:ascii="맑은 고딕" w:hAnsi="맑은 고딕" w:eastAsia="맑은 고딕" w:cs="맑은 고딕"/>
                <w:sz w:val="18"/>
              </w:rPr>
              <w:t>실질 GRDP · 노동생산성 · 소매판매 · 수출</w:t>
            </w:r>
          </w:p>
        </w:tc>
      </w:tr>
    </w:tbl>
    <w:p/>
    <w:p>
      <w:pPr>
        <w:pStyle w:val="Heading1"/>
      </w:pPr>
      <w:r>
        <w:rPr>
          <w:rFonts w:ascii="맑은 고딕" w:hAnsi="맑은 고딕" w:eastAsia="맑은 고딕" w:cs="맑은 고딕"/>
        </w:rPr>
        <w:t>Ⅱ. 지역 산업구조와 경제성장 간 관계</w:t>
      </w:r>
    </w:p>
    <w:p>
      <w:pPr>
        <w:pStyle w:val="Heading2"/>
      </w:pPr>
      <w:r>
        <w:rPr>
          <w:rFonts w:ascii="맑은 고딕" w:hAnsi="맑은 고딕" w:eastAsia="맑은 고딕" w:cs="맑은 고딕"/>
        </w:rPr>
        <w:t>1 산업구조 현황 — 전국과 대구</w:t>
      </w:r>
    </w:p>
    <w:p>
      <w:r>
        <w:rPr>
          <w:rFonts w:ascii="맑은 고딕" w:hAnsi="맑은 고딕" w:eastAsia="맑은 고딕" w:cs="맑은 고딕"/>
          <w:b/>
        </w:rPr>
        <w:t>1. 우리나라 경제에서 서비스업(61.9%)과 제조업(28.6%)이 총부가가치의 90.5%를 차지(2024년)하고, 대구는 서비스업 71.2%·제조업 21.3%로 서비스업 비중이 전국보다 9.3%p 높고 제조업 비중은 7.3%p 낮다.</w:t>
      </w:r>
      <w:r>
        <w:rPr>
          <w:rFonts w:ascii="맑은 고딕" w:hAnsi="맑은 고딕" w:eastAsia="맑은 고딕" w:cs="맑은 고딕"/>
        </w:rPr>
        <w:t xml:space="preserve"> 건설업은 대구 5.3%·전국 5.2%로 비슷하고, 전기·가스·수도(1.8%·2.6%)와 농림어업·광업(0.4%·1.7%)은 대구가 낮다.</w:t>
      </w:r>
    </w:p>
    <w:p>
      <w:pPr>
        <w:keepNext/>
        <w:jc w:val="center"/>
      </w:pPr>
      <w:r>
        <w:drawing>
          <wp:inline xmlns:a="http://schemas.openxmlformats.org/drawingml/2006/main" xmlns:pic="http://schemas.openxmlformats.org/drawingml/2006/picture">
            <wp:extent cx="5760000" cy="3024000"/>
            <wp:docPr id="5" name="Picture 5" descr="/figures/2026-09-30-policy-structure-daegu/fig2-1.svg" title="2024년 산업별 총부가가치 비중, 대구와 전국 막대 비교"/>
            <wp:cNvGraphicFramePr>
              <a:graphicFrameLocks noChangeAspect="1"/>
            </wp:cNvGraphicFramePr>
            <a:graphic>
              <a:graphicData uri="http://schemas.openxmlformats.org/drawingml/2006/picture">
                <pic:pic>
                  <pic:nvPicPr>
                    <pic:cNvPr id="0" name="fig2-1.png"/>
                    <pic:cNvPicPr/>
                  </pic:nvPicPr>
                  <pic:blipFill>
                    <a:blip r:embed="rId13"/>
                    <a:stretch>
                      <a:fillRect/>
                    </a:stretch>
                  </pic:blipFill>
                  <pic:spPr>
                    <a:xfrm>
                      <a:off x="0" y="0"/>
                      <a:ext cx="5760000" cy="3024000"/>
                    </a:xfrm>
                    <a:prstGeom prst="rect"/>
                  </pic:spPr>
                </pic:pic>
              </a:graphicData>
            </a:graphic>
          </wp:inline>
        </w:drawing>
      </w:r>
    </w:p>
    <w:p>
      <w:pPr>
        <w:pStyle w:val="Caption"/>
        <w:jc w:val="center"/>
      </w:pPr>
      <w:r>
        <w:rPr>
          <w:rFonts w:ascii="맑은 고딕" w:hAnsi="맑은 고딕" w:eastAsia="맑은 고딕" w:cs="맑은 고딕"/>
          <w:color w:val="444444"/>
          <w:sz w:val="18"/>
        </w:rPr>
        <w:t>[그림 2-1] 산업별 총부가가치 비중(2024년, 대구·전국) — 자료: 국가데이터처 지역소득</w:t>
      </w:r>
    </w:p>
    <w:p>
      <w:pPr>
        <w:keepNext/>
        <w:jc w:val="center"/>
      </w:pPr>
      <w:r>
        <w:drawing>
          <wp:inline xmlns:a="http://schemas.openxmlformats.org/drawingml/2006/main" xmlns:pic="http://schemas.openxmlformats.org/drawingml/2006/picture">
            <wp:extent cx="5760000" cy="2880000"/>
            <wp:docPr id="6" name="Picture 6" descr="/figures/2026-09-30-policy-structure-daegu/fig2-2.svg" title="대구 서비스업·제조업·건설업 명목 총부가가치 비중 추이 2014~2024"/>
            <wp:cNvGraphicFramePr>
              <a:graphicFrameLocks noChangeAspect="1"/>
            </wp:cNvGraphicFramePr>
            <a:graphic>
              <a:graphicData uri="http://schemas.openxmlformats.org/drawingml/2006/picture">
                <pic:pic>
                  <pic:nvPicPr>
                    <pic:cNvPr id="0" name="fig2-2.png"/>
                    <pic:cNvPicPr/>
                  </pic:nvPicPr>
                  <pic:blipFill>
                    <a:blip r:embed="rId14"/>
                    <a:stretch>
                      <a:fillRect/>
                    </a:stretch>
                  </pic:blipFill>
                  <pic:spPr>
                    <a:xfrm>
                      <a:off x="0" y="0"/>
                      <a:ext cx="5760000" cy="2880000"/>
                    </a:xfrm>
                    <a:prstGeom prst="rect"/>
                  </pic:spPr>
                </pic:pic>
              </a:graphicData>
            </a:graphic>
          </wp:inline>
        </w:drawing>
      </w:r>
    </w:p>
    <w:p>
      <w:pPr>
        <w:pStyle w:val="Caption"/>
        <w:jc w:val="center"/>
      </w:pPr>
      <w:r>
        <w:rPr>
          <w:rFonts w:ascii="맑은 고딕" w:hAnsi="맑은 고딕" w:eastAsia="맑은 고딕" w:cs="맑은 고딕"/>
          <w:color w:val="444444"/>
          <w:sz w:val="18"/>
        </w:rPr>
        <w:t>[그림 2-2] 대구 산업별 명목 총부가가치 비중 추이(2014~2024년) — 자료: 국가데이터처 지역소득</w:t>
      </w:r>
    </w:p>
    <w:p>
      <w:r>
        <w:rPr>
          <w:rFonts w:ascii="맑은 고딕" w:hAnsi="맑은 고딕" w:eastAsia="맑은 고딕" w:cs="맑은 고딕"/>
          <w:b/>
        </w:rPr>
        <w:t>2. 부문별로 보면, 대구 제조업(2024년)은 기계·운송장비·기타(32.0%)와 비금속·금속(23.3%)이 절반을 넘고, 전기·전자·정밀기기 비중이 14.9%(2015년)에서 18.2%(2024년)로 늘어난 반면 섬유·의복·가죽은 13.3%에서 8.2%로 줄었다.</w:t>
      </w:r>
      <w:r>
        <w:rPr>
          <w:rFonts w:ascii="맑은 고딕" w:hAnsi="맑은 고딕" w:eastAsia="맑은 고딕" w:cs="맑은 고딕"/>
        </w:rPr>
        <w:t xml:space="preserve"> 서비스업에서는 도소매·숙박음식(18.9%→17.6%)과 부동산업(16.1%→12.7%)이 줄고 사업서비스(8.4%→10.2%)와 보건·의료(10.3%→13.8%)가 늘었다. 대구 서비스업 비중은 2014년 70.7%, 2020년 72.0%, 2024년 71.2%이고 제조업은 22.9%→19.6%→21.3%다.</w:t>
      </w:r>
    </w:p>
    <w:p>
      <w:pPr>
        <w:keepNext/>
        <w:jc w:val="center"/>
      </w:pPr>
      <w:r>
        <w:drawing>
          <wp:inline xmlns:a="http://schemas.openxmlformats.org/drawingml/2006/main" xmlns:pic="http://schemas.openxmlformats.org/drawingml/2006/picture">
            <wp:extent cx="5760000" cy="3024000"/>
            <wp:docPr id="7" name="Picture 7" descr="/figures/2026-09-30-policy-structure-daegu/fig2-3.svg" title="대구 제조업 내 업종별 부가가치 비중 2015년과 2024년 막대 비교"/>
            <wp:cNvGraphicFramePr>
              <a:graphicFrameLocks noChangeAspect="1"/>
            </wp:cNvGraphicFramePr>
            <a:graphic>
              <a:graphicData uri="http://schemas.openxmlformats.org/drawingml/2006/picture">
                <pic:pic>
                  <pic:nvPicPr>
                    <pic:cNvPr id="0" name="fig2-3.png"/>
                    <pic:cNvPicPr/>
                  </pic:nvPicPr>
                  <pic:blipFill>
                    <a:blip r:embed="rId15"/>
                    <a:stretch>
                      <a:fillRect/>
                    </a:stretch>
                  </pic:blipFill>
                  <pic:spPr>
                    <a:xfrm>
                      <a:off x="0" y="0"/>
                      <a:ext cx="5760000" cy="3024000"/>
                    </a:xfrm>
                    <a:prstGeom prst="rect"/>
                  </pic:spPr>
                </pic:pic>
              </a:graphicData>
            </a:graphic>
          </wp:inline>
        </w:drawing>
      </w:r>
    </w:p>
    <w:p>
      <w:pPr>
        <w:pStyle w:val="Caption"/>
        <w:jc w:val="center"/>
      </w:pPr>
      <w:r>
        <w:rPr>
          <w:rFonts w:ascii="맑은 고딕" w:hAnsi="맑은 고딕" w:eastAsia="맑은 고딕" w:cs="맑은 고딕"/>
          <w:color w:val="444444"/>
          <w:sz w:val="18"/>
        </w:rPr>
        <w:t>[그림 2-3] 대구 제조업 내 업종별 부가가치 변화 — 자료: 국가데이터처 지역소득</w:t>
      </w:r>
    </w:p>
    <w:p>
      <w:pPr>
        <w:keepNext/>
        <w:jc w:val="center"/>
      </w:pPr>
      <w:r>
        <w:drawing>
          <wp:inline xmlns:a="http://schemas.openxmlformats.org/drawingml/2006/main" xmlns:pic="http://schemas.openxmlformats.org/drawingml/2006/picture">
            <wp:extent cx="5760000" cy="3024000"/>
            <wp:docPr id="8" name="Picture 8" descr="/figures/2026-09-30-policy-structure-daegu/fig2-4.svg" title="대구 서비스업 내 업종별 부가가치 비중 2015년과 2024년 막대 비교"/>
            <wp:cNvGraphicFramePr>
              <a:graphicFrameLocks noChangeAspect="1"/>
            </wp:cNvGraphicFramePr>
            <a:graphic>
              <a:graphicData uri="http://schemas.openxmlformats.org/drawingml/2006/picture">
                <pic:pic>
                  <pic:nvPicPr>
                    <pic:cNvPr id="0" name="fig2-4.png"/>
                    <pic:cNvPicPr/>
                  </pic:nvPicPr>
                  <pic:blipFill>
                    <a:blip r:embed="rId16"/>
                    <a:stretch>
                      <a:fillRect/>
                    </a:stretch>
                  </pic:blipFill>
                  <pic:spPr>
                    <a:xfrm>
                      <a:off x="0" y="0"/>
                      <a:ext cx="5760000" cy="3024000"/>
                    </a:xfrm>
                    <a:prstGeom prst="rect"/>
                  </pic:spPr>
                </pic:pic>
              </a:graphicData>
            </a:graphic>
          </wp:inline>
        </w:drawing>
      </w:r>
    </w:p>
    <w:p>
      <w:pPr>
        <w:pStyle w:val="Caption"/>
        <w:jc w:val="center"/>
      </w:pPr>
      <w:r>
        <w:rPr>
          <w:rFonts w:ascii="맑은 고딕" w:hAnsi="맑은 고딕" w:eastAsia="맑은 고딕" w:cs="맑은 고딕"/>
          <w:color w:val="444444"/>
          <w:sz w:val="18"/>
        </w:rPr>
        <w:t>[그림 2-4] 대구 서비스업 내 업종별 부가가치 변화 — 자료: 국가데이터처 지역소득</w:t>
      </w:r>
    </w:p>
    <w:p>
      <w:r>
        <w:rPr>
          <w:rFonts w:ascii="맑은 고딕" w:hAnsi="맑은 고딕" w:eastAsia="맑은 고딕" w:cs="맑은 고딕"/>
          <w:b/>
        </w:rPr>
        <w:t>3. 대구의 수출액(활동 수출기업 기준)은 2016년 68.9억 달러에서 2023년 109.9억 달러로 늘었다가 2024년 88.7억 달러, 2025년 90.3억 달러로 줄었고, 17개 시도 수출액 합계에서 차지하는 비중은 1.2~1.7% 사이(2024년 1.30%, 12번째)다.</w:t>
      </w:r>
      <w:r>
        <w:rPr>
          <w:rFonts w:ascii="맑은 고딕" w:hAnsi="맑은 고딕" w:eastAsia="맑은 고딕" w:cs="맑은 고딕"/>
        </w:rPr>
        <w:t xml:space="preserve"> 2016~2025년 연평균 증가율은 대구 3.06%, 17개 시도 합계 4.06%다. 활동 수출기업 수는 2016년 5,772곳에서 2025년 4,383곳으로 줄었다. 품목별·시장별 수출 비중은 시도 단위 자료가 없어 총액과 기업 수로 대신했다.</w:t>
      </w:r>
      <w:r>
        <w:rPr>
          <w:rFonts w:ascii="맑은 고딕" w:hAnsi="맑은 고딕" w:eastAsia="맑은 고딕" w:cs="맑은 고딕"/>
          <w:vertAlign w:val="superscript"/>
        </w:rPr>
        <w:t>9)</w:t>
      </w:r>
    </w:p>
    <w:p>
      <w:r>
        <w:rPr>
          <w:rFonts w:ascii="맑은 고딕" w:hAnsi="맑은 고딕" w:eastAsia="맑은 고딕" w:cs="맑은 고딕"/>
          <w:color w:val="444444"/>
          <w:sz w:val="18"/>
        </w:rPr>
        <w:t>9) 관세청 「기업무역활동통계」 지역별 수출현황(활동기업 수출액, 명목 달러). 원보고서의 [그림 2-5]·</w:t>
      </w:r>
      <w:r>
        <w:rPr>
          <w:rFonts w:ascii="맑은 고딕" w:hAnsi="맑은 고딕" w:eastAsia="맑은 고딕" w:cs="맑은 고딕"/>
          <w:color w:val="444444"/>
          <w:sz w:val="18"/>
        </w:rPr>
        <w:t>그림 2-6</w:t>
      </w:r>
      <w:r>
        <w:rPr>
          <w:rFonts w:ascii="맑은 고딕" w:hAnsi="맑은 고딕" w:eastAsia="맑은 고딕" w:cs="맑은 고딕"/>
          <w:color w:val="444444"/>
          <w:sz w:val="18"/>
        </w:rPr>
        <w:t>에 해당하는 시도×품목·국가 표는 KOSIS 에 없다.</w:t>
      </w:r>
    </w:p>
    <w:p>
      <w:pPr>
        <w:keepNext/>
        <w:jc w:val="center"/>
      </w:pPr>
      <w:r>
        <w:drawing>
          <wp:inline xmlns:a="http://schemas.openxmlformats.org/drawingml/2006/main" xmlns:pic="http://schemas.openxmlformats.org/drawingml/2006/picture">
            <wp:extent cx="5760000" cy="3024000"/>
            <wp:docPr id="9" name="Picture 9" descr="/figures/2026-09-30-policy-structure-daegu/fig2-5.svg" title="대구 수출액 추이 2016~2025년 막대"/>
            <wp:cNvGraphicFramePr>
              <a:graphicFrameLocks noChangeAspect="1"/>
            </wp:cNvGraphicFramePr>
            <a:graphic>
              <a:graphicData uri="http://schemas.openxmlformats.org/drawingml/2006/picture">
                <pic:pic>
                  <pic:nvPicPr>
                    <pic:cNvPr id="0" name="fig2-5.png"/>
                    <pic:cNvPicPr/>
                  </pic:nvPicPr>
                  <pic:blipFill>
                    <a:blip r:embed="rId17"/>
                    <a:stretch>
                      <a:fillRect/>
                    </a:stretch>
                  </pic:blipFill>
                  <pic:spPr>
                    <a:xfrm>
                      <a:off x="0" y="0"/>
                      <a:ext cx="5760000" cy="3024000"/>
                    </a:xfrm>
                    <a:prstGeom prst="rect"/>
                  </pic:spPr>
                </pic:pic>
              </a:graphicData>
            </a:graphic>
          </wp:inline>
        </w:drawing>
      </w:r>
    </w:p>
    <w:p>
      <w:pPr>
        <w:pStyle w:val="Caption"/>
        <w:jc w:val="center"/>
      </w:pPr>
      <w:r>
        <w:rPr>
          <w:rFonts w:ascii="맑은 고딕" w:hAnsi="맑은 고딕" w:eastAsia="맑은 고딕" w:cs="맑은 고딕"/>
          <w:color w:val="444444"/>
          <w:sz w:val="18"/>
        </w:rPr>
        <w:t>[그림 2-5] 대구 수출액 추이(활동 수출기업 기준, 백만달러) — 자료: 관세청 기업무역활동통계(KOSIS)</w:t>
      </w:r>
    </w:p>
    <w:p>
      <w:pPr>
        <w:keepNext/>
        <w:jc w:val="center"/>
      </w:pPr>
      <w:r>
        <w:drawing>
          <wp:inline xmlns:a="http://schemas.openxmlformats.org/drawingml/2006/main" xmlns:pic="http://schemas.openxmlformats.org/drawingml/2006/picture">
            <wp:extent cx="5760000" cy="3024000"/>
            <wp:docPr id="10" name="Picture 10" descr="/figures/2026-09-30-policy-structure-daegu/fig2-6.svg" title="대구 활동 수출기업 수 추이 2016~2025년 막대"/>
            <wp:cNvGraphicFramePr>
              <a:graphicFrameLocks noChangeAspect="1"/>
            </wp:cNvGraphicFramePr>
            <a:graphic>
              <a:graphicData uri="http://schemas.openxmlformats.org/drawingml/2006/picture">
                <pic:pic>
                  <pic:nvPicPr>
                    <pic:cNvPr id="0" name="fig2-6.png"/>
                    <pic:cNvPicPr/>
                  </pic:nvPicPr>
                  <pic:blipFill>
                    <a:blip r:embed="rId18"/>
                    <a:stretch>
                      <a:fillRect/>
                    </a:stretch>
                  </pic:blipFill>
                  <pic:spPr>
                    <a:xfrm>
                      <a:off x="0" y="0"/>
                      <a:ext cx="5760000" cy="3024000"/>
                    </a:xfrm>
                    <a:prstGeom prst="rect"/>
                  </pic:spPr>
                </pic:pic>
              </a:graphicData>
            </a:graphic>
          </wp:inline>
        </w:drawing>
      </w:r>
    </w:p>
    <w:p>
      <w:pPr>
        <w:pStyle w:val="Caption"/>
        <w:jc w:val="center"/>
      </w:pPr>
      <w:r>
        <w:rPr>
          <w:rFonts w:ascii="맑은 고딕" w:hAnsi="맑은 고딕" w:eastAsia="맑은 고딕" w:cs="맑은 고딕"/>
          <w:color w:val="444444"/>
          <w:sz w:val="18"/>
        </w:rPr>
        <w:t>[그림 2-6] 대구 활동 수출기업 수 — 자료: 관세청 기업무역활동통계(KOSIS)</w:t>
      </w:r>
    </w:p>
    <w:tbl>
      <w:tblPr>
        <w:tblStyle w:val="TableGrid"/>
        <w:tblW w:type="auto" w:w="0"/>
        <w:jc w:val="center"/>
        <w:tblLook w:firstColumn="1" w:firstRow="1" w:lastColumn="0" w:lastRow="0" w:noHBand="0" w:noVBand="1" w:val="04A0"/>
      </w:tblPr>
      <w:tblGrid>
        <w:gridCol w:w="1176"/>
        <w:gridCol w:w="1176"/>
        <w:gridCol w:w="1176"/>
        <w:gridCol w:w="1176"/>
        <w:gridCol w:w="1176"/>
        <w:gridCol w:w="1176"/>
        <w:gridCol w:w="1176"/>
        <w:gridCol w:w="1176"/>
      </w:tblGrid>
      <w:tr>
        <w:trPr>
          <w:tblHeader w:val="true"/>
        </w:trPr>
        <w:tc>
          <w:tcPr>
            <w:tcW w:type="dxa" w:w="1176"/>
            <w:shd w:val="clear" w:color="auto" w:fill="E8ECF2"/>
          </w:tcPr>
          <w:p>
            <w:pPr>
              <w:spacing w:after="0" w:line="276" w:lineRule="auto"/>
              <w:jc w:val="center"/>
            </w:pPr>
            <w:r>
              <w:rPr>
                <w:rFonts w:ascii="맑은 고딕" w:hAnsi="맑은 고딕" w:eastAsia="맑은 고딕" w:cs="맑은 고딕"/>
                <w:b/>
                <w:sz w:val="18"/>
              </w:rPr>
              <w:t>연도</w:t>
            </w:r>
          </w:p>
        </w:tc>
        <w:tc>
          <w:tcPr>
            <w:tcW w:type="dxa" w:w="1176"/>
            <w:shd w:val="clear" w:color="auto" w:fill="E8ECF2"/>
          </w:tcPr>
          <w:p>
            <w:pPr>
              <w:spacing w:after="0" w:line="276" w:lineRule="auto"/>
              <w:jc w:val="right"/>
            </w:pPr>
            <w:r>
              <w:rPr>
                <w:rFonts w:ascii="맑은 고딕" w:hAnsi="맑은 고딕" w:eastAsia="맑은 고딕" w:cs="맑은 고딕"/>
                <w:b/>
                <w:sz w:val="18"/>
              </w:rPr>
              <w:t>2016</w:t>
            </w:r>
          </w:p>
        </w:tc>
        <w:tc>
          <w:tcPr>
            <w:tcW w:type="dxa" w:w="1176"/>
            <w:shd w:val="clear" w:color="auto" w:fill="E8ECF2"/>
          </w:tcPr>
          <w:p>
            <w:pPr>
              <w:spacing w:after="0" w:line="276" w:lineRule="auto"/>
              <w:jc w:val="right"/>
            </w:pPr>
            <w:r>
              <w:rPr>
                <w:rFonts w:ascii="맑은 고딕" w:hAnsi="맑은 고딕" w:eastAsia="맑은 고딕" w:cs="맑은 고딕"/>
                <w:b/>
                <w:sz w:val="18"/>
              </w:rPr>
              <w:t>2018</w:t>
            </w:r>
          </w:p>
        </w:tc>
        <w:tc>
          <w:tcPr>
            <w:tcW w:type="dxa" w:w="1176"/>
            <w:shd w:val="clear" w:color="auto" w:fill="E8ECF2"/>
          </w:tcPr>
          <w:p>
            <w:pPr>
              <w:spacing w:after="0" w:line="276" w:lineRule="auto"/>
              <w:jc w:val="right"/>
            </w:pPr>
            <w:r>
              <w:rPr>
                <w:rFonts w:ascii="맑은 고딕" w:hAnsi="맑은 고딕" w:eastAsia="맑은 고딕" w:cs="맑은 고딕"/>
                <w:b/>
                <w:sz w:val="18"/>
              </w:rPr>
              <w:t>2020</w:t>
            </w:r>
          </w:p>
        </w:tc>
        <w:tc>
          <w:tcPr>
            <w:tcW w:type="dxa" w:w="1176"/>
            <w:shd w:val="clear" w:color="auto" w:fill="E8ECF2"/>
          </w:tcPr>
          <w:p>
            <w:pPr>
              <w:spacing w:after="0" w:line="276" w:lineRule="auto"/>
              <w:jc w:val="right"/>
            </w:pPr>
            <w:r>
              <w:rPr>
                <w:rFonts w:ascii="맑은 고딕" w:hAnsi="맑은 고딕" w:eastAsia="맑은 고딕" w:cs="맑은 고딕"/>
                <w:b/>
                <w:sz w:val="18"/>
              </w:rPr>
              <w:t>2022</w:t>
            </w:r>
          </w:p>
        </w:tc>
        <w:tc>
          <w:tcPr>
            <w:tcW w:type="dxa" w:w="1176"/>
            <w:shd w:val="clear" w:color="auto" w:fill="E8ECF2"/>
          </w:tcPr>
          <w:p>
            <w:pPr>
              <w:spacing w:after="0" w:line="276" w:lineRule="auto"/>
              <w:jc w:val="right"/>
            </w:pPr>
            <w:r>
              <w:rPr>
                <w:rFonts w:ascii="맑은 고딕" w:hAnsi="맑은 고딕" w:eastAsia="맑은 고딕" w:cs="맑은 고딕"/>
                <w:b/>
                <w:sz w:val="18"/>
              </w:rPr>
              <w:t>2023</w:t>
            </w:r>
          </w:p>
        </w:tc>
        <w:tc>
          <w:tcPr>
            <w:tcW w:type="dxa" w:w="1176"/>
            <w:shd w:val="clear" w:color="auto" w:fill="E8ECF2"/>
          </w:tcPr>
          <w:p>
            <w:pPr>
              <w:spacing w:after="0" w:line="276" w:lineRule="auto"/>
              <w:jc w:val="right"/>
            </w:pPr>
            <w:r>
              <w:rPr>
                <w:rFonts w:ascii="맑은 고딕" w:hAnsi="맑은 고딕" w:eastAsia="맑은 고딕" w:cs="맑은 고딕"/>
                <w:b/>
                <w:sz w:val="18"/>
              </w:rPr>
              <w:t>2024</w:t>
            </w:r>
          </w:p>
        </w:tc>
        <w:tc>
          <w:tcPr>
            <w:tcW w:type="dxa" w:w="1176"/>
            <w:shd w:val="clear" w:color="auto" w:fill="E8ECF2"/>
          </w:tcPr>
          <w:p>
            <w:pPr>
              <w:spacing w:after="0" w:line="276" w:lineRule="auto"/>
              <w:jc w:val="right"/>
            </w:pPr>
            <w:r>
              <w:rPr>
                <w:rFonts w:ascii="맑은 고딕" w:hAnsi="맑은 고딕" w:eastAsia="맑은 고딕" w:cs="맑은 고딕"/>
                <w:b/>
                <w:sz w:val="18"/>
              </w:rPr>
              <w:t>2025</w:t>
            </w:r>
          </w:p>
        </w:tc>
      </w:tr>
      <w:tr>
        <w:tc>
          <w:tcPr>
            <w:tcW w:type="dxa" w:w="1176"/>
          </w:tcPr>
          <w:p>
            <w:pPr>
              <w:spacing w:after="0" w:line="276" w:lineRule="auto"/>
            </w:pPr>
            <w:r>
              <w:rPr>
                <w:rFonts w:ascii="맑은 고딕" w:hAnsi="맑은 고딕" w:eastAsia="맑은 고딕" w:cs="맑은 고딕"/>
                <w:sz w:val="18"/>
              </w:rPr>
              <w:t>대구 수출액(백만달러)</w:t>
            </w:r>
          </w:p>
        </w:tc>
        <w:tc>
          <w:tcPr>
            <w:tcW w:type="dxa" w:w="1176"/>
          </w:tcPr>
          <w:p>
            <w:pPr>
              <w:spacing w:after="0" w:line="276" w:lineRule="auto"/>
              <w:jc w:val="right"/>
            </w:pPr>
            <w:r>
              <w:rPr>
                <w:rFonts w:ascii="맑은 고딕" w:hAnsi="맑은 고딕" w:eastAsia="맑은 고딕" w:cs="맑은 고딕"/>
                <w:sz w:val="18"/>
              </w:rPr>
              <w:t>6,887</w:t>
            </w:r>
          </w:p>
        </w:tc>
        <w:tc>
          <w:tcPr>
            <w:tcW w:type="dxa" w:w="1176"/>
          </w:tcPr>
          <w:p>
            <w:pPr>
              <w:spacing w:after="0" w:line="276" w:lineRule="auto"/>
              <w:jc w:val="right"/>
            </w:pPr>
            <w:r>
              <w:rPr>
                <w:rFonts w:ascii="맑은 고딕" w:hAnsi="맑은 고딕" w:eastAsia="맑은 고딕" w:cs="맑은 고딕"/>
                <w:sz w:val="18"/>
              </w:rPr>
              <w:t>8,074</w:t>
            </w:r>
          </w:p>
        </w:tc>
        <w:tc>
          <w:tcPr>
            <w:tcW w:type="dxa" w:w="1176"/>
          </w:tcPr>
          <w:p>
            <w:pPr>
              <w:spacing w:after="0" w:line="276" w:lineRule="auto"/>
              <w:jc w:val="right"/>
            </w:pPr>
            <w:r>
              <w:rPr>
                <w:rFonts w:ascii="맑은 고딕" w:hAnsi="맑은 고딕" w:eastAsia="맑은 고딕" w:cs="맑은 고딕"/>
                <w:sz w:val="18"/>
              </w:rPr>
              <w:t>6,256</w:t>
            </w:r>
          </w:p>
        </w:tc>
        <w:tc>
          <w:tcPr>
            <w:tcW w:type="dxa" w:w="1176"/>
          </w:tcPr>
          <w:p>
            <w:pPr>
              <w:spacing w:after="0" w:line="276" w:lineRule="auto"/>
              <w:jc w:val="right"/>
            </w:pPr>
            <w:r>
              <w:rPr>
                <w:rFonts w:ascii="맑은 고딕" w:hAnsi="맑은 고딕" w:eastAsia="맑은 고딕" w:cs="맑은 고딕"/>
                <w:sz w:val="18"/>
              </w:rPr>
              <w:t>10,603</w:t>
            </w:r>
          </w:p>
        </w:tc>
        <w:tc>
          <w:tcPr>
            <w:tcW w:type="dxa" w:w="1176"/>
          </w:tcPr>
          <w:p>
            <w:pPr>
              <w:spacing w:after="0" w:line="276" w:lineRule="auto"/>
              <w:jc w:val="right"/>
            </w:pPr>
            <w:r>
              <w:rPr>
                <w:rFonts w:ascii="맑은 고딕" w:hAnsi="맑은 고딕" w:eastAsia="맑은 고딕" w:cs="맑은 고딕"/>
                <w:sz w:val="18"/>
              </w:rPr>
              <w:t>10,987</w:t>
            </w:r>
          </w:p>
        </w:tc>
        <w:tc>
          <w:tcPr>
            <w:tcW w:type="dxa" w:w="1176"/>
          </w:tcPr>
          <w:p>
            <w:pPr>
              <w:spacing w:after="0" w:line="276" w:lineRule="auto"/>
              <w:jc w:val="right"/>
            </w:pPr>
            <w:r>
              <w:rPr>
                <w:rFonts w:ascii="맑은 고딕" w:hAnsi="맑은 고딕" w:eastAsia="맑은 고딕" w:cs="맑은 고딕"/>
                <w:sz w:val="18"/>
              </w:rPr>
              <w:t>8,873</w:t>
            </w:r>
          </w:p>
        </w:tc>
        <w:tc>
          <w:tcPr>
            <w:tcW w:type="dxa" w:w="1176"/>
          </w:tcPr>
          <w:p>
            <w:pPr>
              <w:spacing w:after="0" w:line="276" w:lineRule="auto"/>
              <w:jc w:val="right"/>
            </w:pPr>
            <w:r>
              <w:rPr>
                <w:rFonts w:ascii="맑은 고딕" w:hAnsi="맑은 고딕" w:eastAsia="맑은 고딕" w:cs="맑은 고딕"/>
                <w:sz w:val="18"/>
              </w:rPr>
              <w:t>9,030</w:t>
            </w:r>
          </w:p>
        </w:tc>
      </w:tr>
      <w:tr>
        <w:tc>
          <w:tcPr>
            <w:tcW w:type="dxa" w:w="1176"/>
          </w:tcPr>
          <w:p>
            <w:pPr>
              <w:spacing w:after="0" w:line="276" w:lineRule="auto"/>
            </w:pPr>
            <w:r>
              <w:rPr>
                <w:rFonts w:ascii="맑은 고딕" w:hAnsi="맑은 고딕" w:eastAsia="맑은 고딕" w:cs="맑은 고딕"/>
                <w:sz w:val="18"/>
              </w:rPr>
              <w:t>17개 시도 합계 중 대구 비중(%)</w:t>
            </w:r>
          </w:p>
        </w:tc>
        <w:tc>
          <w:tcPr>
            <w:tcW w:type="dxa" w:w="1176"/>
          </w:tcPr>
          <w:p>
            <w:pPr>
              <w:spacing w:after="0" w:line="276" w:lineRule="auto"/>
              <w:jc w:val="right"/>
            </w:pPr>
            <w:r>
              <w:rPr>
                <w:rFonts w:ascii="맑은 고딕" w:hAnsi="맑은 고딕" w:eastAsia="맑은 고딕" w:cs="맑은 고딕"/>
                <w:sz w:val="18"/>
              </w:rPr>
              <w:t>1.39</w:t>
            </w:r>
          </w:p>
        </w:tc>
        <w:tc>
          <w:tcPr>
            <w:tcW w:type="dxa" w:w="1176"/>
          </w:tcPr>
          <w:p>
            <w:pPr>
              <w:spacing w:after="0" w:line="276" w:lineRule="auto"/>
              <w:jc w:val="right"/>
            </w:pPr>
            <w:r>
              <w:rPr>
                <w:rFonts w:ascii="맑은 고딕" w:hAnsi="맑은 고딕" w:eastAsia="맑은 고딕" w:cs="맑은 고딕"/>
                <w:sz w:val="18"/>
              </w:rPr>
              <w:t>1.34</w:t>
            </w:r>
          </w:p>
        </w:tc>
        <w:tc>
          <w:tcPr>
            <w:tcW w:type="dxa" w:w="1176"/>
          </w:tcPr>
          <w:p>
            <w:pPr>
              <w:spacing w:after="0" w:line="276" w:lineRule="auto"/>
              <w:jc w:val="right"/>
            </w:pPr>
            <w:r>
              <w:rPr>
                <w:rFonts w:ascii="맑은 고딕" w:hAnsi="맑은 고딕" w:eastAsia="맑은 고딕" w:cs="맑은 고딕"/>
                <w:sz w:val="18"/>
              </w:rPr>
              <w:t>1.22</w:t>
            </w:r>
          </w:p>
        </w:tc>
        <w:tc>
          <w:tcPr>
            <w:tcW w:type="dxa" w:w="1176"/>
          </w:tcPr>
          <w:p>
            <w:pPr>
              <w:spacing w:after="0" w:line="276" w:lineRule="auto"/>
              <w:jc w:val="right"/>
            </w:pPr>
            <w:r>
              <w:rPr>
                <w:rFonts w:ascii="맑은 고딕" w:hAnsi="맑은 고딕" w:eastAsia="맑은 고딕" w:cs="맑은 고딕"/>
                <w:sz w:val="18"/>
              </w:rPr>
              <w:t>1.55</w:t>
            </w:r>
          </w:p>
        </w:tc>
        <w:tc>
          <w:tcPr>
            <w:tcW w:type="dxa" w:w="1176"/>
          </w:tcPr>
          <w:p>
            <w:pPr>
              <w:spacing w:after="0" w:line="276" w:lineRule="auto"/>
              <w:jc w:val="right"/>
            </w:pPr>
            <w:r>
              <w:rPr>
                <w:rFonts w:ascii="맑은 고딕" w:hAnsi="맑은 고딕" w:eastAsia="맑은 고딕" w:cs="맑은 고딕"/>
                <w:sz w:val="18"/>
              </w:rPr>
              <w:t>1.74</w:t>
            </w:r>
          </w:p>
        </w:tc>
        <w:tc>
          <w:tcPr>
            <w:tcW w:type="dxa" w:w="1176"/>
          </w:tcPr>
          <w:p>
            <w:pPr>
              <w:spacing w:after="0" w:line="276" w:lineRule="auto"/>
              <w:jc w:val="right"/>
            </w:pPr>
            <w:r>
              <w:rPr>
                <w:rFonts w:ascii="맑은 고딕" w:hAnsi="맑은 고딕" w:eastAsia="맑은 고딕" w:cs="맑은 고딕"/>
                <w:sz w:val="18"/>
              </w:rPr>
              <w:t>1.30</w:t>
            </w:r>
          </w:p>
        </w:tc>
        <w:tc>
          <w:tcPr>
            <w:tcW w:type="dxa" w:w="1176"/>
          </w:tcPr>
          <w:p>
            <w:pPr>
              <w:spacing w:after="0" w:line="276" w:lineRule="auto"/>
              <w:jc w:val="right"/>
            </w:pPr>
            <w:r>
              <w:rPr>
                <w:rFonts w:ascii="맑은 고딕" w:hAnsi="맑은 고딕" w:eastAsia="맑은 고딕" w:cs="맑은 고딕"/>
                <w:sz w:val="18"/>
              </w:rPr>
              <w:t>1.28</w:t>
            </w:r>
          </w:p>
        </w:tc>
      </w:tr>
      <w:tr>
        <w:tc>
          <w:tcPr>
            <w:tcW w:type="dxa" w:w="1176"/>
          </w:tcPr>
          <w:p>
            <w:pPr>
              <w:spacing w:after="0" w:line="276" w:lineRule="auto"/>
            </w:pPr>
            <w:r>
              <w:rPr>
                <w:rFonts w:ascii="맑은 고딕" w:hAnsi="맑은 고딕" w:eastAsia="맑은 고딕" w:cs="맑은 고딕"/>
                <w:sz w:val="18"/>
              </w:rPr>
              <w:t>대구 활동 수출기업(곳)</w:t>
            </w:r>
          </w:p>
        </w:tc>
        <w:tc>
          <w:tcPr>
            <w:tcW w:type="dxa" w:w="1176"/>
          </w:tcPr>
          <w:p>
            <w:pPr>
              <w:spacing w:after="0" w:line="276" w:lineRule="auto"/>
              <w:jc w:val="right"/>
            </w:pPr>
            <w:r>
              <w:rPr>
                <w:rFonts w:ascii="맑은 고딕" w:hAnsi="맑은 고딕" w:eastAsia="맑은 고딕" w:cs="맑은 고딕"/>
                <w:sz w:val="18"/>
              </w:rPr>
              <w:t>5,772</w:t>
            </w:r>
          </w:p>
        </w:tc>
        <w:tc>
          <w:tcPr>
            <w:tcW w:type="dxa" w:w="1176"/>
          </w:tcPr>
          <w:p>
            <w:pPr>
              <w:spacing w:after="0" w:line="276" w:lineRule="auto"/>
              <w:jc w:val="right"/>
            </w:pPr>
            <w:r>
              <w:rPr>
                <w:rFonts w:ascii="맑은 고딕" w:hAnsi="맑은 고딕" w:eastAsia="맑은 고딕" w:cs="맑은 고딕"/>
                <w:sz w:val="18"/>
              </w:rPr>
              <w:t>5,059</w:t>
            </w:r>
          </w:p>
        </w:tc>
        <w:tc>
          <w:tcPr>
            <w:tcW w:type="dxa" w:w="1176"/>
          </w:tcPr>
          <w:p>
            <w:pPr>
              <w:spacing w:after="0" w:line="276" w:lineRule="auto"/>
              <w:jc w:val="right"/>
            </w:pPr>
            <w:r>
              <w:rPr>
                <w:rFonts w:ascii="맑은 고딕" w:hAnsi="맑은 고딕" w:eastAsia="맑은 고딕" w:cs="맑은 고딕"/>
                <w:sz w:val="18"/>
              </w:rPr>
              <w:t>4,844</w:t>
            </w:r>
          </w:p>
        </w:tc>
        <w:tc>
          <w:tcPr>
            <w:tcW w:type="dxa" w:w="1176"/>
          </w:tcPr>
          <w:p>
            <w:pPr>
              <w:spacing w:after="0" w:line="276" w:lineRule="auto"/>
              <w:jc w:val="right"/>
            </w:pPr>
            <w:r>
              <w:rPr>
                <w:rFonts w:ascii="맑은 고딕" w:hAnsi="맑은 고딕" w:eastAsia="맑은 고딕" w:cs="맑은 고딕"/>
                <w:sz w:val="18"/>
              </w:rPr>
              <w:t>4,435</w:t>
            </w:r>
          </w:p>
        </w:tc>
        <w:tc>
          <w:tcPr>
            <w:tcW w:type="dxa" w:w="1176"/>
          </w:tcPr>
          <w:p>
            <w:pPr>
              <w:spacing w:after="0" w:line="276" w:lineRule="auto"/>
              <w:jc w:val="right"/>
            </w:pPr>
            <w:r>
              <w:rPr>
                <w:rFonts w:ascii="맑은 고딕" w:hAnsi="맑은 고딕" w:eastAsia="맑은 고딕" w:cs="맑은 고딕"/>
                <w:sz w:val="18"/>
              </w:rPr>
              <w:t>4,390</w:t>
            </w:r>
          </w:p>
        </w:tc>
        <w:tc>
          <w:tcPr>
            <w:tcW w:type="dxa" w:w="1176"/>
          </w:tcPr>
          <w:p>
            <w:pPr>
              <w:spacing w:after="0" w:line="276" w:lineRule="auto"/>
              <w:jc w:val="right"/>
            </w:pPr>
            <w:r>
              <w:rPr>
                <w:rFonts w:ascii="맑은 고딕" w:hAnsi="맑은 고딕" w:eastAsia="맑은 고딕" w:cs="맑은 고딕"/>
                <w:sz w:val="18"/>
              </w:rPr>
              <w:t>4,466</w:t>
            </w:r>
          </w:p>
        </w:tc>
        <w:tc>
          <w:tcPr>
            <w:tcW w:type="dxa" w:w="1176"/>
          </w:tcPr>
          <w:p>
            <w:pPr>
              <w:spacing w:after="0" w:line="276" w:lineRule="auto"/>
              <w:jc w:val="right"/>
            </w:pPr>
            <w:r>
              <w:rPr>
                <w:rFonts w:ascii="맑은 고딕" w:hAnsi="맑은 고딕" w:eastAsia="맑은 고딕" w:cs="맑은 고딕"/>
                <w:sz w:val="18"/>
              </w:rPr>
              <w:t>4,383</w:t>
            </w:r>
          </w:p>
        </w:tc>
      </w:tr>
    </w:tbl>
    <w:p/>
    <w:p>
      <w:r>
        <w:rPr>
          <w:rFonts w:ascii="맑은 고딕" w:hAnsi="맑은 고딕" w:eastAsia="맑은 고딕" w:cs="맑은 고딕"/>
          <w:color w:val="444444"/>
          <w:sz w:val="18"/>
        </w:rPr>
        <w:t>자료: 관세청 기업무역활동통계 지역별 수출현황(KOSIS DT_134006_N007)</w:t>
      </w:r>
    </w:p>
    <w:p>
      <w:r>
        <w:rPr>
          <w:rFonts w:ascii="맑은 고딕" w:hAnsi="맑은 고딕" w:eastAsia="맑은 고딕" w:cs="맑은 고딕"/>
          <w:b/>
        </w:rPr>
        <w:t>4. 대구 종사자 비중은 제조업 16.0%, 도매 및 소매업 15.1%, 보건업 및 사회복지 12.8%, 숙박·음식점업 9.5%, 교육 8.0% 순(2023년 전국사업체조사)이며, 노동생산성(실질 총부가가치/취업자)은 2015년을 100으로 할 때 2024년 대구 114.9, 전국 115.2다.</w:t>
      </w:r>
      <w:r>
        <w:rPr>
          <w:rFonts w:ascii="맑은 고딕" w:hAnsi="맑은 고딕" w:eastAsia="맑은 고딕" w:cs="맑은 고딕"/>
        </w:rPr>
        <w:t xml:space="preserve"> 산업별로 보면 대구 제조업의 노동생산성은 2024년 101.0(연평균 0.11% 증가)으로 전국 제조업(128.0, 2.78%)과 차이가 크고, 서비스업은 118.1(1.87%)로 전국(115.9, 1.65%)과 비슷하며, 건설업은 87.3(-1.49%)으로 전국(97.0, -0.34%)보다 낮다. 산업별 취업자는 지역별고용조사(반기) 연평균이며 2024년은 상반기 값만 공표돼 계절 차이가 있을 수 있다.</w:t>
      </w:r>
    </w:p>
    <w:p>
      <w:pPr>
        <w:keepNext/>
        <w:jc w:val="center"/>
      </w:pPr>
      <w:r>
        <w:drawing>
          <wp:inline xmlns:a="http://schemas.openxmlformats.org/drawingml/2006/main" xmlns:pic="http://schemas.openxmlformats.org/drawingml/2006/picture">
            <wp:extent cx="5760000" cy="2937600"/>
            <wp:docPr id="11" name="Picture 11" descr="/figures/2026-09-30-policy-structure-daegu/fig2-7.svg" title="대구 산업별 종사자 비중 가로 막대, 2023년 전국사업체조사"/>
            <wp:cNvGraphicFramePr>
              <a:graphicFrameLocks noChangeAspect="1"/>
            </wp:cNvGraphicFramePr>
            <a:graphic>
              <a:graphicData uri="http://schemas.openxmlformats.org/drawingml/2006/picture">
                <pic:pic>
                  <pic:nvPicPr>
                    <pic:cNvPr id="0" name="fig2-7.png"/>
                    <pic:cNvPicPr/>
                  </pic:nvPicPr>
                  <pic:blipFill>
                    <a:blip r:embed="rId19"/>
                    <a:stretch>
                      <a:fillRect/>
                    </a:stretch>
                  </pic:blipFill>
                  <pic:spPr>
                    <a:xfrm>
                      <a:off x="0" y="0"/>
                      <a:ext cx="5760000" cy="2937600"/>
                    </a:xfrm>
                    <a:prstGeom prst="rect"/>
                  </pic:spPr>
                </pic:pic>
              </a:graphicData>
            </a:graphic>
          </wp:inline>
        </w:drawing>
      </w:r>
    </w:p>
    <w:p>
      <w:pPr>
        <w:pStyle w:val="Caption"/>
        <w:jc w:val="center"/>
      </w:pPr>
      <w:r>
        <w:rPr>
          <w:rFonts w:ascii="맑은 고딕" w:hAnsi="맑은 고딕" w:eastAsia="맑은 고딕" w:cs="맑은 고딕"/>
          <w:color w:val="444444"/>
          <w:sz w:val="18"/>
        </w:rPr>
        <w:t>[그림 2-7] 대구 산업별 종사자 비중(2023년) — 자료: 국가데이터처 전국사업체조사(종사자 기준, 원보고서의 취업자 비중과 잣대가 다름)</w:t>
      </w:r>
    </w:p>
    <w:p>
      <w:pPr>
        <w:keepNext/>
        <w:jc w:val="center"/>
      </w:pPr>
      <w:r>
        <w:drawing>
          <wp:inline xmlns:a="http://schemas.openxmlformats.org/drawingml/2006/main" xmlns:pic="http://schemas.openxmlformats.org/drawingml/2006/picture">
            <wp:extent cx="5760000" cy="2880000"/>
            <wp:docPr id="12" name="Picture 12" descr="/figures/2026-09-30-policy-structure-daegu/fig2-8.svg" title="대구 제조업·서비스업·건설업·전산업 노동생산성 지수 추이 2015=100 선 그래프"/>
            <wp:cNvGraphicFramePr>
              <a:graphicFrameLocks noChangeAspect="1"/>
            </wp:cNvGraphicFramePr>
            <a:graphic>
              <a:graphicData uri="http://schemas.openxmlformats.org/drawingml/2006/picture">
                <pic:pic>
                  <pic:nvPicPr>
                    <pic:cNvPr id="0" name="fig2-8.png"/>
                    <pic:cNvPicPr/>
                  </pic:nvPicPr>
                  <pic:blipFill>
                    <a:blip r:embed="rId20"/>
                    <a:stretch>
                      <a:fillRect/>
                    </a:stretch>
                  </pic:blipFill>
                  <pic:spPr>
                    <a:xfrm>
                      <a:off x="0" y="0"/>
                      <a:ext cx="5760000" cy="2880000"/>
                    </a:xfrm>
                    <a:prstGeom prst="rect"/>
                  </pic:spPr>
                </pic:pic>
              </a:graphicData>
            </a:graphic>
          </wp:inline>
        </w:drawing>
      </w:r>
    </w:p>
    <w:p>
      <w:pPr>
        <w:pStyle w:val="Caption"/>
        <w:jc w:val="center"/>
      </w:pPr>
      <w:r>
        <w:rPr>
          <w:rFonts w:ascii="맑은 고딕" w:hAnsi="맑은 고딕" w:eastAsia="맑은 고딕" w:cs="맑은 고딕"/>
          <w:color w:val="444444"/>
          <w:sz w:val="18"/>
        </w:rPr>
        <w:t>[그림 2-8] 대구 산업별 노동생산성 지수 추이(2015=100) — 주: 실질 총부가가치/취업자, 취업자는 지역별고용조사 반기 연평균(2024년은 상반기). 자료: 국가데이터처 지역소득·지역별고용조사·경제활동인구조사, 자체 계산</w:t>
      </w:r>
    </w:p>
    <w:p>
      <w:pPr>
        <w:keepNext/>
        <w:jc w:val="center"/>
      </w:pPr>
      <w:r>
        <w:drawing>
          <wp:inline xmlns:a="http://schemas.openxmlformats.org/drawingml/2006/main" xmlns:pic="http://schemas.openxmlformats.org/drawingml/2006/picture">
            <wp:extent cx="5760000" cy="2880000"/>
            <wp:docPr id="13" name="Picture 13" descr="/figures/2026-09-30-policy-structure-daegu/fig2-8n.svg" title="전국 제조업·서비스업·건설업·전산업 노동생산성 지수 추이 2015=100 선 그래프"/>
            <wp:cNvGraphicFramePr>
              <a:graphicFrameLocks noChangeAspect="1"/>
            </wp:cNvGraphicFramePr>
            <a:graphic>
              <a:graphicData uri="http://schemas.openxmlformats.org/drawingml/2006/picture">
                <pic:pic>
                  <pic:nvPicPr>
                    <pic:cNvPr id="0" name="fig2-8n.png"/>
                    <pic:cNvPicPr/>
                  </pic:nvPicPr>
                  <pic:blipFill>
                    <a:blip r:embed="rId21"/>
                    <a:stretch>
                      <a:fillRect/>
                    </a:stretch>
                  </pic:blipFill>
                  <pic:spPr>
                    <a:xfrm>
                      <a:off x="0" y="0"/>
                      <a:ext cx="5760000" cy="2880000"/>
                    </a:xfrm>
                    <a:prstGeom prst="rect"/>
                  </pic:spPr>
                </pic:pic>
              </a:graphicData>
            </a:graphic>
          </wp:inline>
        </w:drawing>
      </w:r>
    </w:p>
    <w:p>
      <w:pPr>
        <w:pStyle w:val="Caption"/>
        <w:jc w:val="center"/>
      </w:pPr>
      <w:r>
        <w:rPr>
          <w:rFonts w:ascii="맑은 고딕" w:hAnsi="맑은 고딕" w:eastAsia="맑은 고딕" w:cs="맑은 고딕"/>
          <w:color w:val="444444"/>
          <w:sz w:val="18"/>
        </w:rPr>
        <w:t>[그림 2-8 참고] 전국 산업별 노동생산성 지수 추이(2015=100) — 자료: 위와 같음</w:t>
      </w:r>
    </w:p>
    <w:p>
      <w:pPr>
        <w:pStyle w:val="Heading2"/>
      </w:pPr>
      <w:r>
        <w:rPr>
          <w:rFonts w:ascii="맑은 고딕" w:hAnsi="맑은 고딕" w:eastAsia="맑은 고딕" w:cs="맑은 고딕"/>
        </w:rPr>
        <w:t>2 산업 특화 측면</w:t>
      </w:r>
    </w:p>
    <w:p>
      <w:r>
        <w:rPr>
          <w:rFonts w:ascii="맑은 고딕" w:hAnsi="맑은 고딕" w:eastAsia="맑은 고딕" w:cs="맑은 고딕"/>
          <w:b/>
        </w:rPr>
        <w:t>[ 전 국 ]</w:t>
      </w:r>
    </w:p>
    <w:p>
      <w:r>
        <w:rPr>
          <w:rFonts w:ascii="맑은 고딕" w:hAnsi="맑은 고딕" w:eastAsia="맑은 고딕" w:cs="맑은 고딕"/>
          <w:b/>
        </w:rPr>
        <w:t>1. 지역별 산업 입지계수(부가가치 기준)</w:t>
      </w:r>
      <w:r>
        <w:rPr>
          <w:rFonts w:ascii="맑은 고딕" w:hAnsi="맑은 고딕" w:eastAsia="맑은 고딕" w:cs="맑은 고딕"/>
          <w:b/>
          <w:vertAlign w:val="superscript"/>
        </w:rPr>
        <w:t>1)</w:t>
      </w:r>
      <w:r>
        <w:rPr>
          <w:rFonts w:ascii="맑은 고딕" w:hAnsi="맑은 고딕" w:eastAsia="맑은 고딕" w:cs="맑은 고딕"/>
          <w:b/>
        </w:rPr>
        <w:t>를 분석한 결과, 권역별로 특화된 산업이 다르다.</w:t>
      </w:r>
      <w:r>
        <w:rPr>
          <w:rFonts w:ascii="맑은 고딕" w:hAnsi="맑은 고딕" w:eastAsia="맑은 고딕" w:cs="맑은 고딕"/>
        </w:rPr>
        <w:t xml:space="preserve"> 2024년 히트맵([그림 2-9])에서 수도권은 정보통신업 등 지식기반 서비스업(서울·경기)과 전기·전자·정밀기기(경기)에, 경상권은 기계·운송장비(울산·경남)와 석탄·석유·화학(울산·전남)에, 중부권은 전기·전자(충북)와 공공·연구 서비스(대전·세종)에 특화돼 있다. 대구는 섬유·의복·가죽(2.41), 보건·사회복지(1.70), 교육(1.59), 목재·종이·인쇄(1.47), 숙박·음식점(1.35)이 1.3을 넘는다.</w:t>
      </w:r>
    </w:p>
    <w:p>
      <w:r>
        <w:rPr>
          <w:rFonts w:ascii="맑은 고딕" w:hAnsi="맑은 고딕" w:eastAsia="맑은 고딕" w:cs="맑은 고딕"/>
          <w:b/>
        </w:rPr>
        <w:t>2. 종사자수 기준으로 계산한 입지계수는 부가가치 기준과 다르게 나타난다.</w:t>
      </w:r>
      <w:r>
        <w:rPr>
          <w:rFonts w:ascii="맑은 고딕" w:hAnsi="맑은 고딕" w:eastAsia="맑은 고딕" w:cs="맑은 고딕"/>
        </w:rPr>
        <w:t xml:space="preserve"> 대구의 종사자 기준 입지계수(2023년 전국사업체조사, 대분류)는 보건·사회복지 1.27, 교육 1.18, 협회·수리·개인 1.11, 금융·보험 1.09, 도소매 1.08이고 제조업은 0.98, 정보통신 0.48, 전문·과학·기술 0.60이다. 부가가치 기준에서 1.19인 금융·보험이 종사자 기준으로는 1.09로 낮아지고, 제조업 세부 부문의 특화(섬유 2.41)는 대분류 제조업 전체(0.98)에서는 보이지 않는다.</w:t>
      </w:r>
    </w:p>
    <w:p>
      <w:pPr>
        <w:keepNext/>
        <w:jc w:val="center"/>
      </w:pPr>
      <w:r>
        <w:drawing>
          <wp:inline xmlns:a="http://schemas.openxmlformats.org/drawingml/2006/main" xmlns:pic="http://schemas.openxmlformats.org/drawingml/2006/picture">
            <wp:extent cx="5760000" cy="4176000"/>
            <wp:docPr id="14" name="Picture 14" descr="/figures/2026-09-30-policy-structure-daegu/fig2-9.svg" title="부가가치 기준 17개 시도 × 24개 부문 입지계수 히트맵, 2024년, 대구 행 강조"/>
            <wp:cNvGraphicFramePr>
              <a:graphicFrameLocks noChangeAspect="1"/>
            </wp:cNvGraphicFramePr>
            <a:graphic>
              <a:graphicData uri="http://schemas.openxmlformats.org/drawingml/2006/picture">
                <pic:pic>
                  <pic:nvPicPr>
                    <pic:cNvPr id="0" name="fig2-9.png"/>
                    <pic:cNvPicPr/>
                  </pic:nvPicPr>
                  <pic:blipFill>
                    <a:blip r:embed="rId22"/>
                    <a:stretch>
                      <a:fillRect/>
                    </a:stretch>
                  </pic:blipFill>
                  <pic:spPr>
                    <a:xfrm>
                      <a:off x="0" y="0"/>
                      <a:ext cx="5760000" cy="4176000"/>
                    </a:xfrm>
                    <a:prstGeom prst="rect"/>
                  </pic:spPr>
                </pic:pic>
              </a:graphicData>
            </a:graphic>
          </wp:inline>
        </w:drawing>
      </w:r>
    </w:p>
    <w:p>
      <w:pPr>
        <w:pStyle w:val="Caption"/>
        <w:jc w:val="center"/>
      </w:pPr>
      <w:r>
        <w:rPr>
          <w:rFonts w:ascii="맑은 고딕" w:hAnsi="맑은 고딕" w:eastAsia="맑은 고딕" w:cs="맑은 고딕"/>
          <w:color w:val="444444"/>
          <w:sz w:val="18"/>
        </w:rPr>
        <w:t>[그림 2-9] 부가가치 기준 지역별 입지계수 히트맵(2024년) — 주: 붉을수록 해당 산업에 특화됨. 자료: 국가데이터처, 자체 계산</w:t>
      </w:r>
    </w:p>
    <w:p>
      <w:pPr>
        <w:keepNext/>
        <w:jc w:val="center"/>
      </w:pPr>
      <w:r>
        <w:drawing>
          <wp:inline xmlns:a="http://schemas.openxmlformats.org/drawingml/2006/main" xmlns:pic="http://schemas.openxmlformats.org/drawingml/2006/picture">
            <wp:extent cx="5760000" cy="4176000"/>
            <wp:docPr id="15" name="Picture 15" descr="/figures/2026-09-30-policy-structure-daegu/fig2-10.svg" title="종사자 기준 17개 시도 × 산업 대분류 입지계수 히트맵, 2023년, 대구 행 강조"/>
            <wp:cNvGraphicFramePr>
              <a:graphicFrameLocks noChangeAspect="1"/>
            </wp:cNvGraphicFramePr>
            <a:graphic>
              <a:graphicData uri="http://schemas.openxmlformats.org/drawingml/2006/picture">
                <pic:pic>
                  <pic:nvPicPr>
                    <pic:cNvPr id="0" name="fig2-10.png"/>
                    <pic:cNvPicPr/>
                  </pic:nvPicPr>
                  <pic:blipFill>
                    <a:blip r:embed="rId23"/>
                    <a:stretch>
                      <a:fillRect/>
                    </a:stretch>
                  </pic:blipFill>
                  <pic:spPr>
                    <a:xfrm>
                      <a:off x="0" y="0"/>
                      <a:ext cx="5760000" cy="4176000"/>
                    </a:xfrm>
                    <a:prstGeom prst="rect"/>
                  </pic:spPr>
                </pic:pic>
              </a:graphicData>
            </a:graphic>
          </wp:inline>
        </w:drawing>
      </w:r>
    </w:p>
    <w:p>
      <w:pPr>
        <w:pStyle w:val="Caption"/>
        <w:jc w:val="center"/>
      </w:pPr>
      <w:r>
        <w:rPr>
          <w:rFonts w:ascii="맑은 고딕" w:hAnsi="맑은 고딕" w:eastAsia="맑은 고딕" w:cs="맑은 고딕"/>
          <w:color w:val="444444"/>
          <w:sz w:val="18"/>
        </w:rPr>
        <w:t>[그림 2-10] 종사자수 기준 지역별 입지계수 히트맵(2023년, 전국사업체조사 대분류) — 자료: 국가데이터처, 자체 계산</w:t>
      </w:r>
    </w:p>
    <w:p>
      <w:r>
        <w:rPr>
          <w:rFonts w:ascii="맑은 고딕" w:hAnsi="맑은 고딕" w:eastAsia="맑은 고딕" w:cs="맑은 고딕"/>
          <w:color w:val="444444"/>
          <w:sz w:val="18"/>
        </w:rPr>
        <w:t>1) 특정 산업이 그 지역에 얼마나 특화되어 있는지를 보여주는 지표로, 1보다 크면 전국보다 그 산업의 비중이 높다. 자세한 정의는 &lt;참고 1&gt;.</w:t>
      </w:r>
    </w:p>
    <w:p>
      <w:r>
        <w:rPr>
          <w:rFonts w:ascii="맑은 고딕" w:hAnsi="맑은 고딕" w:eastAsia="맑은 고딕" w:cs="맑은 고딕"/>
          <w:b/>
        </w:rPr>
        <w:t>3. 지역별 특화산업은 과거 대비 크게 변하지 않았다.</w:t>
      </w:r>
      <w:r>
        <w:rPr>
          <w:rFonts w:ascii="맑은 고딕" w:hAnsi="맑은 고딕" w:eastAsia="맑은 고딕" w:cs="맑은 고딕"/>
        </w:rPr>
        <w:t xml:space="preserve"> 2015년과 2024년 부문별 입지계수의 상관계수는 서울(0.998)·강원(0.997)·전남(0.991)·경남(0.987)이 높고 인천(0.866)·세종(0.884)·경북(0.915)·제주(0.942)가 낮다. 대구는 0.977로 17개 시도 평균(0.959)보다 높아 전북과 같은 8번째이며, 주력 특화산업의 구성이 10년간 유지된 편에 속한다.</w:t>
      </w:r>
    </w:p>
    <w:p>
      <w:r>
        <w:rPr>
          <w:rFonts w:ascii="맑은 고딕" w:hAnsi="맑은 고딕" w:eastAsia="맑은 고딕" w:cs="맑은 고딕"/>
          <w:b/>
        </w:rPr>
        <w:t>4. 특화산업이 고착화된 지역은 대체로 낮은 경제성장률을 보였다.</w:t>
      </w:r>
      <w:r>
        <w:rPr>
          <w:rFonts w:ascii="맑은 고딕" w:hAnsi="맑은 고딕" w:eastAsia="맑은 고딕" w:cs="맑은 고딕"/>
        </w:rPr>
        <w:t xml:space="preserve"> 2015~2024년 성장률과 고착화 수준을 교차하면([그림 2-12]) 고착화가 평균보다 낮고 성장률이 높은 세종·인천·충북은 「구조재편형 고성장」, 고착화·성장률이 모두 높은 경기·충남은 「경로강화형 고성장」, 고착화가 높고 성장률이 낮은 울산·경남·전남은 「구조고착형 저성장」, 고착화·성장률이 모두 낮은 경북은 「구조재편형 저성장」에 해당한다. 대구(고착화 0.977, 성장률 1.15%)는 고착화가 평균보다 높고 성장률이 낮은 「구조고착형 저성장」 사분면에 있다.</w:t>
      </w:r>
    </w:p>
    <w:p>
      <w:pPr>
        <w:keepNext/>
        <w:jc w:val="center"/>
      </w:pPr>
      <w:r>
        <w:drawing>
          <wp:inline xmlns:a="http://schemas.openxmlformats.org/drawingml/2006/main" xmlns:pic="http://schemas.openxmlformats.org/drawingml/2006/picture">
            <wp:extent cx="5760000" cy="4780800"/>
            <wp:docPr id="16" name="Picture 16" descr="/figures/2026-09-30-policy-structure-daegu/fig2-11.svg" title="17개 시도의 2015·2024년 입지계수 상관계수 가로 막대"/>
            <wp:cNvGraphicFramePr>
              <a:graphicFrameLocks noChangeAspect="1"/>
            </wp:cNvGraphicFramePr>
            <a:graphic>
              <a:graphicData uri="http://schemas.openxmlformats.org/drawingml/2006/picture">
                <pic:pic>
                  <pic:nvPicPr>
                    <pic:cNvPr id="0" name="fig2-11.png"/>
                    <pic:cNvPicPr/>
                  </pic:nvPicPr>
                  <pic:blipFill>
                    <a:blip r:embed="rId24"/>
                    <a:stretch>
                      <a:fillRect/>
                    </a:stretch>
                  </pic:blipFill>
                  <pic:spPr>
                    <a:xfrm>
                      <a:off x="0" y="0"/>
                      <a:ext cx="5760000" cy="4780800"/>
                    </a:xfrm>
                    <a:prstGeom prst="rect"/>
                  </pic:spPr>
                </pic:pic>
              </a:graphicData>
            </a:graphic>
          </wp:inline>
        </w:drawing>
      </w:r>
    </w:p>
    <w:p>
      <w:pPr>
        <w:pStyle w:val="Caption"/>
        <w:jc w:val="center"/>
      </w:pPr>
      <w:r>
        <w:rPr>
          <w:rFonts w:ascii="맑은 고딕" w:hAnsi="맑은 고딕" w:eastAsia="맑은 고딕" w:cs="맑은 고딕"/>
          <w:color w:val="444444"/>
          <w:sz w:val="18"/>
        </w:rPr>
        <w:t>[그림 2-11] 과거 10년 간 지역별 특화산업 고착화 수준</w:t>
      </w:r>
      <w:r>
        <w:rPr>
          <w:rFonts w:ascii="맑은 고딕" w:hAnsi="맑은 고딕" w:eastAsia="맑은 고딕" w:cs="맑은 고딕"/>
          <w:color w:val="444444"/>
          <w:sz w:val="18"/>
          <w:vertAlign w:val="superscript"/>
        </w:rPr>
        <w:t>1)</w:t>
      </w:r>
      <w:r>
        <w:rPr>
          <w:rFonts w:ascii="맑은 고딕" w:hAnsi="맑은 고딕" w:eastAsia="맑은 고딕" w:cs="맑은 고딕"/>
          <w:color w:val="444444"/>
          <w:sz w:val="18"/>
        </w:rPr>
        <w:t xml:space="preserve"> — 주: 1) 2015년과 2024년 입지계수의 상관값, 17개 시도 평균 0.959. 자료: 국가데이터처, 자체 계산</w:t>
      </w:r>
    </w:p>
    <w:p>
      <w:pPr>
        <w:keepNext/>
        <w:jc w:val="center"/>
      </w:pPr>
      <w:r>
        <w:drawing>
          <wp:inline xmlns:a="http://schemas.openxmlformats.org/drawingml/2006/main" xmlns:pic="http://schemas.openxmlformats.org/drawingml/2006/picture">
            <wp:extent cx="5760000" cy="3456000"/>
            <wp:docPr id="17" name="Picture 17" descr="/figures/2026-09-30-policy-structure-daegu/s1.svg" title="경제성장률과 산업구조 고착화 수준 산점도(요약-1과 같음)"/>
            <wp:cNvGraphicFramePr>
              <a:graphicFrameLocks noChangeAspect="1"/>
            </wp:cNvGraphicFramePr>
            <a:graphic>
              <a:graphicData uri="http://schemas.openxmlformats.org/drawingml/2006/picture">
                <pic:pic>
                  <pic:nvPicPr>
                    <pic:cNvPr id="0" name="s1.png"/>
                    <pic:cNvPicPr/>
                  </pic:nvPicPr>
                  <pic:blipFill>
                    <a:blip r:embed="rId9"/>
                    <a:stretch>
                      <a:fillRect/>
                    </a:stretch>
                  </pic:blipFill>
                  <pic:spPr>
                    <a:xfrm>
                      <a:off x="0" y="0"/>
                      <a:ext cx="5760000" cy="3456000"/>
                    </a:xfrm>
                    <a:prstGeom prst="rect"/>
                  </pic:spPr>
                </pic:pic>
              </a:graphicData>
            </a:graphic>
          </wp:inline>
        </w:drawing>
      </w:r>
    </w:p>
    <w:p>
      <w:pPr>
        <w:pStyle w:val="Caption"/>
        <w:jc w:val="center"/>
      </w:pPr>
      <w:r>
        <w:rPr>
          <w:rFonts w:ascii="맑은 고딕" w:hAnsi="맑은 고딕" w:eastAsia="맑은 고딕" w:cs="맑은 고딕"/>
          <w:color w:val="444444"/>
          <w:sz w:val="18"/>
        </w:rPr>
        <w:t>[그림 2-12] 경제성장률</w:t>
      </w:r>
      <w:r>
        <w:rPr>
          <w:rFonts w:ascii="맑은 고딕" w:hAnsi="맑은 고딕" w:eastAsia="맑은 고딕" w:cs="맑은 고딕"/>
          <w:color w:val="444444"/>
          <w:sz w:val="18"/>
          <w:vertAlign w:val="superscript"/>
        </w:rPr>
        <w:t>1)</w:t>
      </w:r>
      <w:r>
        <w:rPr>
          <w:rFonts w:ascii="맑은 고딕" w:hAnsi="맑은 고딕" w:eastAsia="맑은 고딕" w:cs="맑은 고딕"/>
          <w:color w:val="444444"/>
          <w:sz w:val="18"/>
        </w:rPr>
        <w:t>과 산업구조 고착화 수준</w:t>
      </w:r>
      <w:r>
        <w:rPr>
          <w:rFonts w:ascii="맑은 고딕" w:hAnsi="맑은 고딕" w:eastAsia="맑은 고딕" w:cs="맑은 고딕"/>
          <w:color w:val="444444"/>
          <w:sz w:val="18"/>
          <w:vertAlign w:val="superscript"/>
        </w:rPr>
        <w:t>2)</w:t>
      </w:r>
      <w:r>
        <w:rPr>
          <w:rFonts w:ascii="맑은 고딕" w:hAnsi="맑은 고딕" w:eastAsia="맑은 고딕" w:cs="맑은 고딕"/>
          <w:color w:val="444444"/>
          <w:sz w:val="18"/>
        </w:rPr>
        <w:t xml:space="preserve"> 간 관계 — 주: 1) 2015~24년 연평균 경제성장률 2) 2015년과 2024년 입지계수의 상관값. 자료: 국가데이터처, 자체 계산</w:t>
      </w:r>
    </w:p>
    <w:p>
      <w:r>
        <w:rPr>
          <w:rFonts w:ascii="맑은 고딕" w:hAnsi="맑은 고딕" w:eastAsia="맑은 고딕" w:cs="맑은 고딕"/>
          <w:b/>
        </w:rPr>
        <w:t>[ 대 구 ]</w:t>
      </w:r>
    </w:p>
    <w:p>
      <w:r>
        <w:rPr>
          <w:rFonts w:ascii="맑은 고딕" w:hAnsi="맑은 고딕" w:eastAsia="맑은 고딕" w:cs="맑은 고딕"/>
          <w:b/>
        </w:rPr>
        <w:t>5. 대구의 상위 특화산업은 섬유·의복·가죽 제조업과 보건·교육 등 서비스업이다.</w:t>
      </w:r>
      <w:r>
        <w:rPr>
          <w:rFonts w:ascii="맑은 고딕" w:hAnsi="맑은 고딕" w:eastAsia="맑은 고딕" w:cs="맑은 고딕"/>
        </w:rPr>
        <w:t xml:space="preserve"> 대구의 주요 특화산업은 섬유·의복·가죽 제조업(2.41, 2024년 부가가치 기준 입지계수), 보건·사회복지(1.70), 교육(1.59), 목재·종이·인쇄(1.47), 숙박·음식점(1.35) 등이다. 반면 고부가 부문인 전기·전자·정밀기기(0.41)와 정보통신업(0.64), 그리고 석탄·석유·화학(0.42)의 특화도는 낮다. 금융·보험(1.19)은 고부가 3부문 중 유일하게 1을 넘는다.</w:t>
      </w:r>
    </w:p>
    <w:p>
      <w:r>
        <w:rPr>
          <w:rFonts w:ascii="맑은 고딕" w:hAnsi="맑은 고딕" w:eastAsia="맑은 고딕" w:cs="맑은 고딕"/>
          <w:b/>
        </w:rPr>
        <w:t>6. 이러한 특화산업 구조는 지난 10년간 큰 변화 없이 유지됐다.</w:t>
      </w:r>
      <w:r>
        <w:rPr>
          <w:rFonts w:ascii="맑은 고딕" w:hAnsi="맑은 고딕" w:eastAsia="맑은 고딕" w:cs="맑은 고딕"/>
        </w:rPr>
        <w:t xml:space="preserve"> 상위 특화산업의 2015년과 2024년 입지계수를 비교하면 섬유·의복·가죽이 2.6에서 2.4로 낮아진 것 외에는 보건·사회복지(1.6→1.7), 교육(1.5→1.6), 목재·종이·인쇄(1.3→1.5), 숙박·음식점(1.2→1.3)이 같거나 조금 올랐다. 지역 총부가가치 내 비중은 섬유·의복·가죽이 3.0%에서 1.7%로 줄고 보건·사회복지가 7.2%에서 9.9%로 늘었다.</w:t>
      </w:r>
    </w:p>
    <w:p>
      <w:pPr>
        <w:keepNext/>
        <w:jc w:val="center"/>
      </w:pPr>
      <w:r>
        <w:drawing>
          <wp:inline xmlns:a="http://schemas.openxmlformats.org/drawingml/2006/main" xmlns:pic="http://schemas.openxmlformats.org/drawingml/2006/picture">
            <wp:extent cx="5760000" cy="3398400"/>
            <wp:docPr id="18" name="Picture 18" descr="/figures/2026-09-30-policy-structure-daegu/fig2-13.svg" title="대구 상위 5개·하위 5개 특화산업 입지계수 가로 막대"/>
            <wp:cNvGraphicFramePr>
              <a:graphicFrameLocks noChangeAspect="1"/>
            </wp:cNvGraphicFramePr>
            <a:graphic>
              <a:graphicData uri="http://schemas.openxmlformats.org/drawingml/2006/picture">
                <pic:pic>
                  <pic:nvPicPr>
                    <pic:cNvPr id="0" name="fig2-13.png"/>
                    <pic:cNvPicPr/>
                  </pic:nvPicPr>
                  <pic:blipFill>
                    <a:blip r:embed="rId25"/>
                    <a:stretch>
                      <a:fillRect/>
                    </a:stretch>
                  </pic:blipFill>
                  <pic:spPr>
                    <a:xfrm>
                      <a:off x="0" y="0"/>
                      <a:ext cx="5760000" cy="3398400"/>
                    </a:xfrm>
                    <a:prstGeom prst="rect"/>
                  </pic:spPr>
                </pic:pic>
              </a:graphicData>
            </a:graphic>
          </wp:inline>
        </w:drawing>
      </w:r>
    </w:p>
    <w:p>
      <w:pPr>
        <w:pStyle w:val="Caption"/>
        <w:jc w:val="center"/>
      </w:pPr>
      <w:r>
        <w:rPr>
          <w:rFonts w:ascii="맑은 고딕" w:hAnsi="맑은 고딕" w:eastAsia="맑은 고딕" w:cs="맑은 고딕"/>
          <w:color w:val="444444"/>
          <w:sz w:val="18"/>
        </w:rPr>
        <w:t>[그림 2-13] 대구 상·하위 특화산업</w:t>
      </w:r>
      <w:r>
        <w:rPr>
          <w:rFonts w:ascii="맑은 고딕" w:hAnsi="맑은 고딕" w:eastAsia="맑은 고딕" w:cs="맑은 고딕"/>
          <w:color w:val="444444"/>
          <w:sz w:val="18"/>
          <w:vertAlign w:val="superscript"/>
        </w:rPr>
        <w:t>1)</w:t>
      </w:r>
      <w:r>
        <w:rPr>
          <w:rFonts w:ascii="맑은 고딕" w:hAnsi="맑은 고딕" w:eastAsia="맑은 고딕" w:cs="맑은 고딕"/>
          <w:color w:val="444444"/>
          <w:sz w:val="18"/>
        </w:rPr>
        <w:t xml:space="preserve"> — 주: 1) 2024년 부가가치 기준. 자료: 국가데이터처, 자체 계산</w:t>
      </w:r>
    </w:p>
    <w:p>
      <w:r>
        <w:rPr>
          <w:rFonts w:ascii="맑은 고딕" w:hAnsi="맑은 고딕" w:eastAsia="맑은 고딕" w:cs="맑은 고딕"/>
          <w:b/>
        </w:rPr>
        <w:t>[표 2-1] 대구 상위</w:t>
      </w:r>
      <w:r>
        <w:rPr>
          <w:rFonts w:ascii="맑은 고딕" w:hAnsi="맑은 고딕" w:eastAsia="맑은 고딕" w:cs="맑은 고딕"/>
          <w:b/>
          <w:vertAlign w:val="superscript"/>
        </w:rPr>
        <w:t>1)</w:t>
      </w:r>
      <w:r>
        <w:rPr>
          <w:rFonts w:ascii="맑은 고딕" w:hAnsi="맑은 고딕" w:eastAsia="맑은 고딕" w:cs="맑은 고딕"/>
          <w:b/>
        </w:rPr>
        <w:t xml:space="preserve"> 특화산업 고착화 수준</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E8ECF2"/>
          </w:tcPr>
          <w:p>
            <w:pPr>
              <w:spacing w:after="0" w:line="276" w:lineRule="auto"/>
              <w:jc w:val="center"/>
            </w:pPr>
            <w:r>
              <w:rPr>
                <w:rFonts w:ascii="맑은 고딕" w:hAnsi="맑은 고딕" w:eastAsia="맑은 고딕" w:cs="맑은 고딕"/>
                <w:b/>
                <w:sz w:val="18"/>
              </w:rPr>
              <w:t>산업명</w:t>
            </w:r>
          </w:p>
        </w:tc>
        <w:tc>
          <w:tcPr>
            <w:tcW w:type="dxa" w:w="3137"/>
            <w:shd w:val="clear" w:color="auto" w:fill="E8ECF2"/>
          </w:tcPr>
          <w:p>
            <w:pPr>
              <w:spacing w:after="0" w:line="276" w:lineRule="auto"/>
              <w:jc w:val="right"/>
            </w:pPr>
            <w:r>
              <w:rPr>
                <w:rFonts w:ascii="맑은 고딕" w:hAnsi="맑은 고딕" w:eastAsia="맑은 고딕" w:cs="맑은 고딕"/>
                <w:b/>
                <w:sz w:val="18"/>
              </w:rPr>
              <w:t>입지계수 2015년 (부가가치 비중, %)</w:t>
            </w:r>
          </w:p>
        </w:tc>
        <w:tc>
          <w:tcPr>
            <w:tcW w:type="dxa" w:w="3137"/>
            <w:shd w:val="clear" w:color="auto" w:fill="E8ECF2"/>
          </w:tcPr>
          <w:p>
            <w:pPr>
              <w:spacing w:after="0" w:line="276" w:lineRule="auto"/>
              <w:jc w:val="right"/>
            </w:pPr>
            <w:r>
              <w:rPr>
                <w:rFonts w:ascii="맑은 고딕" w:hAnsi="맑은 고딕" w:eastAsia="맑은 고딕" w:cs="맑은 고딕"/>
                <w:b/>
                <w:sz w:val="18"/>
              </w:rPr>
              <w:t>입지계수 2024년 (부가가치 비중, %)</w:t>
            </w:r>
          </w:p>
        </w:tc>
      </w:tr>
      <w:tr>
        <w:tc>
          <w:tcPr>
            <w:tcW w:type="dxa" w:w="3137"/>
          </w:tcPr>
          <w:p>
            <w:pPr>
              <w:spacing w:after="0" w:line="276" w:lineRule="auto"/>
            </w:pPr>
            <w:r>
              <w:rPr>
                <w:rFonts w:ascii="맑은 고딕" w:hAnsi="맑은 고딕" w:eastAsia="맑은 고딕" w:cs="맑은 고딕"/>
                <w:sz w:val="18"/>
              </w:rPr>
              <w:t>섬유·의복·가죽 제조업</w:t>
            </w:r>
          </w:p>
        </w:tc>
        <w:tc>
          <w:tcPr>
            <w:tcW w:type="dxa" w:w="3137"/>
          </w:tcPr>
          <w:p>
            <w:pPr>
              <w:spacing w:after="0" w:line="276" w:lineRule="auto"/>
              <w:jc w:val="right"/>
            </w:pPr>
            <w:r>
              <w:rPr>
                <w:rFonts w:ascii="맑은 고딕" w:hAnsi="맑은 고딕" w:eastAsia="맑은 고딕" w:cs="맑은 고딕"/>
                <w:sz w:val="18"/>
              </w:rPr>
              <w:t>2.6 (3.0)</w:t>
            </w:r>
          </w:p>
        </w:tc>
        <w:tc>
          <w:tcPr>
            <w:tcW w:type="dxa" w:w="3137"/>
          </w:tcPr>
          <w:p>
            <w:pPr>
              <w:spacing w:after="0" w:line="276" w:lineRule="auto"/>
              <w:jc w:val="right"/>
            </w:pPr>
            <w:r>
              <w:rPr>
                <w:rFonts w:ascii="맑은 고딕" w:hAnsi="맑은 고딕" w:eastAsia="맑은 고딕" w:cs="맑은 고딕"/>
                <w:sz w:val="18"/>
              </w:rPr>
              <w:t>2.4 (1.7)</w:t>
            </w:r>
          </w:p>
        </w:tc>
      </w:tr>
      <w:tr>
        <w:tc>
          <w:tcPr>
            <w:tcW w:type="dxa" w:w="3137"/>
          </w:tcPr>
          <w:p>
            <w:pPr>
              <w:spacing w:after="0" w:line="276" w:lineRule="auto"/>
            </w:pPr>
            <w:r>
              <w:rPr>
                <w:rFonts w:ascii="맑은 고딕" w:hAnsi="맑은 고딕" w:eastAsia="맑은 고딕" w:cs="맑은 고딕"/>
                <w:sz w:val="18"/>
              </w:rPr>
              <w:t>보건업 및 사회복지</w:t>
            </w:r>
          </w:p>
        </w:tc>
        <w:tc>
          <w:tcPr>
            <w:tcW w:type="dxa" w:w="3137"/>
          </w:tcPr>
          <w:p>
            <w:pPr>
              <w:spacing w:after="0" w:line="276" w:lineRule="auto"/>
              <w:jc w:val="right"/>
            </w:pPr>
            <w:r>
              <w:rPr>
                <w:rFonts w:ascii="맑은 고딕" w:hAnsi="맑은 고딕" w:eastAsia="맑은 고딕" w:cs="맑은 고딕"/>
                <w:sz w:val="18"/>
              </w:rPr>
              <w:t>1.6 (7.2)</w:t>
            </w:r>
          </w:p>
        </w:tc>
        <w:tc>
          <w:tcPr>
            <w:tcW w:type="dxa" w:w="3137"/>
          </w:tcPr>
          <w:p>
            <w:pPr>
              <w:spacing w:after="0" w:line="276" w:lineRule="auto"/>
              <w:jc w:val="right"/>
            </w:pPr>
            <w:r>
              <w:rPr>
                <w:rFonts w:ascii="맑은 고딕" w:hAnsi="맑은 고딕" w:eastAsia="맑은 고딕" w:cs="맑은 고딕"/>
                <w:sz w:val="18"/>
              </w:rPr>
              <w:t>1.7 (9.9)</w:t>
            </w:r>
          </w:p>
        </w:tc>
      </w:tr>
      <w:tr>
        <w:tc>
          <w:tcPr>
            <w:tcW w:type="dxa" w:w="3137"/>
          </w:tcPr>
          <w:p>
            <w:pPr>
              <w:spacing w:after="0" w:line="276" w:lineRule="auto"/>
            </w:pPr>
            <w:r>
              <w:rPr>
                <w:rFonts w:ascii="맑은 고딕" w:hAnsi="맑은 고딕" w:eastAsia="맑은 고딕" w:cs="맑은 고딕"/>
                <w:sz w:val="18"/>
              </w:rPr>
              <w:t>교육 서비스업</w:t>
            </w:r>
          </w:p>
        </w:tc>
        <w:tc>
          <w:tcPr>
            <w:tcW w:type="dxa" w:w="3137"/>
          </w:tcPr>
          <w:p>
            <w:pPr>
              <w:spacing w:after="0" w:line="276" w:lineRule="auto"/>
              <w:jc w:val="right"/>
            </w:pPr>
            <w:r>
              <w:rPr>
                <w:rFonts w:ascii="맑은 고딕" w:hAnsi="맑은 고딕" w:eastAsia="맑은 고딕" w:cs="맑은 고딕"/>
                <w:sz w:val="18"/>
              </w:rPr>
              <w:t>1.5 (7.3)</w:t>
            </w:r>
          </w:p>
        </w:tc>
        <w:tc>
          <w:tcPr>
            <w:tcW w:type="dxa" w:w="3137"/>
          </w:tcPr>
          <w:p>
            <w:pPr>
              <w:spacing w:after="0" w:line="276" w:lineRule="auto"/>
              <w:jc w:val="right"/>
            </w:pPr>
            <w:r>
              <w:rPr>
                <w:rFonts w:ascii="맑은 고딕" w:hAnsi="맑은 고딕" w:eastAsia="맑은 고딕" w:cs="맑은 고딕"/>
                <w:sz w:val="18"/>
              </w:rPr>
              <w:t>1.6 (7.4)</w:t>
            </w:r>
          </w:p>
        </w:tc>
      </w:tr>
      <w:tr>
        <w:tc>
          <w:tcPr>
            <w:tcW w:type="dxa" w:w="3137"/>
          </w:tcPr>
          <w:p>
            <w:pPr>
              <w:spacing w:after="0" w:line="276" w:lineRule="auto"/>
            </w:pPr>
            <w:r>
              <w:rPr>
                <w:rFonts w:ascii="맑은 고딕" w:hAnsi="맑은 고딕" w:eastAsia="맑은 고딕" w:cs="맑은 고딕"/>
                <w:sz w:val="18"/>
              </w:rPr>
              <w:t>목재·종이·인쇄 및 복제업</w:t>
            </w:r>
          </w:p>
        </w:tc>
        <w:tc>
          <w:tcPr>
            <w:tcW w:type="dxa" w:w="3137"/>
          </w:tcPr>
          <w:p>
            <w:pPr>
              <w:spacing w:after="0" w:line="276" w:lineRule="auto"/>
              <w:jc w:val="right"/>
            </w:pPr>
            <w:r>
              <w:rPr>
                <w:rFonts w:ascii="맑은 고딕" w:hAnsi="맑은 고딕" w:eastAsia="맑은 고딕" w:cs="맑은 고딕"/>
                <w:sz w:val="18"/>
              </w:rPr>
              <w:t>1.3 (1.1)</w:t>
            </w:r>
          </w:p>
        </w:tc>
        <w:tc>
          <w:tcPr>
            <w:tcW w:type="dxa" w:w="3137"/>
          </w:tcPr>
          <w:p>
            <w:pPr>
              <w:spacing w:after="0" w:line="276" w:lineRule="auto"/>
              <w:jc w:val="right"/>
            </w:pPr>
            <w:r>
              <w:rPr>
                <w:rFonts w:ascii="맑은 고딕" w:hAnsi="맑은 고딕" w:eastAsia="맑은 고딕" w:cs="맑은 고딕"/>
                <w:sz w:val="18"/>
              </w:rPr>
              <w:t>1.5 (1.0)</w:t>
            </w:r>
          </w:p>
        </w:tc>
      </w:tr>
      <w:tr>
        <w:tc>
          <w:tcPr>
            <w:tcW w:type="dxa" w:w="3137"/>
          </w:tcPr>
          <w:p>
            <w:pPr>
              <w:spacing w:after="0" w:line="276" w:lineRule="auto"/>
            </w:pPr>
            <w:r>
              <w:rPr>
                <w:rFonts w:ascii="맑은 고딕" w:hAnsi="맑은 고딕" w:eastAsia="맑은 고딕" w:cs="맑은 고딕"/>
                <w:sz w:val="18"/>
              </w:rPr>
              <w:t>숙박 및 음식점업</w:t>
            </w:r>
          </w:p>
        </w:tc>
        <w:tc>
          <w:tcPr>
            <w:tcW w:type="dxa" w:w="3137"/>
          </w:tcPr>
          <w:p>
            <w:pPr>
              <w:spacing w:after="0" w:line="276" w:lineRule="auto"/>
              <w:jc w:val="right"/>
            </w:pPr>
            <w:r>
              <w:rPr>
                <w:rFonts w:ascii="맑은 고딕" w:hAnsi="맑은 고딕" w:eastAsia="맑은 고딕" w:cs="맑은 고딕"/>
                <w:sz w:val="18"/>
              </w:rPr>
              <w:t>1.2 (3.1)</w:t>
            </w:r>
          </w:p>
        </w:tc>
        <w:tc>
          <w:tcPr>
            <w:tcW w:type="dxa" w:w="3137"/>
          </w:tcPr>
          <w:p>
            <w:pPr>
              <w:spacing w:after="0" w:line="276" w:lineRule="auto"/>
              <w:jc w:val="right"/>
            </w:pPr>
            <w:r>
              <w:rPr>
                <w:rFonts w:ascii="맑은 고딕" w:hAnsi="맑은 고딕" w:eastAsia="맑은 고딕" w:cs="맑은 고딕"/>
                <w:sz w:val="18"/>
              </w:rPr>
              <w:t>1.3 (3.7)</w:t>
            </w:r>
          </w:p>
        </w:tc>
      </w:tr>
    </w:tbl>
    <w:p/>
    <w:p>
      <w:r>
        <w:rPr>
          <w:rFonts w:ascii="맑은 고딕" w:hAnsi="맑은 고딕" w:eastAsia="맑은 고딕" w:cs="맑은 고딕"/>
          <w:color w:val="444444"/>
          <w:sz w:val="18"/>
        </w:rPr>
        <w:t>주: 1) 2024년 기준 입지계수 상위 5개 기준. 자료: 국가데이터처, 자체 계산</w:t>
      </w:r>
    </w:p>
    <w:p>
      <w:pPr>
        <w:pStyle w:val="Heading2"/>
      </w:pPr>
      <w:r>
        <w:rPr>
          <w:rFonts w:ascii="맑은 고딕" w:hAnsi="맑은 고딕" w:eastAsia="맑은 고딕" w:cs="맑은 고딕"/>
        </w:rPr>
        <w:t>3 산업 집중도 측면</w:t>
      </w:r>
    </w:p>
    <w:p>
      <w:r>
        <w:rPr>
          <w:rFonts w:ascii="맑은 고딕" w:hAnsi="맑은 고딕" w:eastAsia="맑은 고딕" w:cs="맑은 고딕"/>
          <w:b/>
        </w:rPr>
        <w:t>[ 전 국 ]</w:t>
      </w:r>
    </w:p>
    <w:p>
      <w:r>
        <w:rPr>
          <w:rFonts w:ascii="맑은 고딕" w:hAnsi="맑은 고딕" w:eastAsia="맑은 고딕" w:cs="맑은 고딕"/>
          <w:b/>
        </w:rPr>
        <w:t>1. 2024년 기준 지역별 산업집중도(HHI)</w:t>
      </w:r>
      <w:r>
        <w:rPr>
          <w:rFonts w:ascii="맑은 고딕" w:hAnsi="맑은 고딕" w:eastAsia="맑은 고딕" w:cs="맑은 고딕"/>
          <w:b/>
          <w:vertAlign w:val="superscript"/>
        </w:rPr>
        <w:t>3)</w:t>
      </w:r>
      <w:r>
        <w:rPr>
          <w:rFonts w:ascii="맑은 고딕" w:hAnsi="맑은 고딕" w:eastAsia="맑은 고딕" w:cs="맑은 고딕"/>
          <w:b/>
        </w:rPr>
        <w:t>를 분석한 결과, 특정 산업의 집적 여부에 따른 지역 간 격차가 확인된다.</w:t>
      </w:r>
      <w:r>
        <w:rPr>
          <w:rFonts w:ascii="맑은 고딕" w:hAnsi="맑은 고딕" w:eastAsia="맑은 고딕" w:cs="맑은 고딕"/>
        </w:rPr>
        <w:t xml:space="preserve"> 운송장비·석유화학 비중이 큰 울산(1,435)과 공공행정 비중이 큰 세종(1,228)은 17개 시도 평균(809)을 크게 상회하고, 전북(605)·대구(619)·인천(629)·부산(631)은 부가가치가 여러 업종에 분산되면서 하위권에 있다.</w:t>
      </w:r>
    </w:p>
    <w:p>
      <w:r>
        <w:rPr>
          <w:rFonts w:ascii="맑은 고딕" w:hAnsi="맑은 고딕" w:eastAsia="맑은 고딕" w:cs="맑은 고딕"/>
          <w:b/>
        </w:rPr>
        <w:t>2. 지난 10년간(2015~24년)의 지역별 경제성장률과 산업집중도 변화율은 양(+)의 상관관계를 갖는다.</w:t>
      </w:r>
      <w:r>
        <w:rPr>
          <w:rFonts w:ascii="맑은 고딕" w:hAnsi="맑은 고딕" w:eastAsia="맑은 고딕" w:cs="맑은 고딕"/>
        </w:rPr>
        <w:t xml:space="preserve"> 집중도가 연평균 1%대로 높아진 경기·세종은 성장률이 3.93%·4.14%로 높았고, 집중도가 가장 크게 떨어진 경북(-3.43%)·전남(-1.57%)·울산(-0.98%)은 성장률이 0.35~1.48%에 머물렀다. 17개 시도의 상관계수는 0.62(세종 제외 0.57)다. 강원은 집중도가 올랐는데도 성장률이 전국 평균 수준(2.43%)인 예외다. 대구의 집중도 변화율은 -0.40%로 하락 쪽에 있다.</w:t>
      </w:r>
    </w:p>
    <w:p>
      <w:pPr>
        <w:keepNext/>
        <w:jc w:val="center"/>
      </w:pPr>
      <w:r>
        <w:drawing>
          <wp:inline xmlns:a="http://schemas.openxmlformats.org/drawingml/2006/main" xmlns:pic="http://schemas.openxmlformats.org/drawingml/2006/picture">
            <wp:extent cx="5760000" cy="3024000"/>
            <wp:docPr id="19" name="Picture 19" descr="/figures/2026-09-30-policy-structure-daegu/fig2-14.svg" title="2024년 17개 시도 산업집중도 HHI 막대"/>
            <wp:cNvGraphicFramePr>
              <a:graphicFrameLocks noChangeAspect="1"/>
            </wp:cNvGraphicFramePr>
            <a:graphic>
              <a:graphicData uri="http://schemas.openxmlformats.org/drawingml/2006/picture">
                <pic:pic>
                  <pic:nvPicPr>
                    <pic:cNvPr id="0" name="fig2-14.png"/>
                    <pic:cNvPicPr/>
                  </pic:nvPicPr>
                  <pic:blipFill>
                    <a:blip r:embed="rId26"/>
                    <a:stretch>
                      <a:fillRect/>
                    </a:stretch>
                  </pic:blipFill>
                  <pic:spPr>
                    <a:xfrm>
                      <a:off x="0" y="0"/>
                      <a:ext cx="5760000" cy="3024000"/>
                    </a:xfrm>
                    <a:prstGeom prst="rect"/>
                  </pic:spPr>
                </pic:pic>
              </a:graphicData>
            </a:graphic>
          </wp:inline>
        </w:drawing>
      </w:r>
    </w:p>
    <w:p>
      <w:pPr>
        <w:pStyle w:val="Caption"/>
        <w:jc w:val="center"/>
      </w:pPr>
      <w:r>
        <w:rPr>
          <w:rFonts w:ascii="맑은 고딕" w:hAnsi="맑은 고딕" w:eastAsia="맑은 고딕" w:cs="맑은 고딕"/>
          <w:color w:val="444444"/>
          <w:sz w:val="18"/>
        </w:rPr>
        <w:t>[그림 2-14] 지역별 산업집중도 비교 — 주: 2024년 기준, 17개 시도 평균 809. 자료: 국가데이터처, 자체 계산</w:t>
      </w:r>
    </w:p>
    <w:p>
      <w:pPr>
        <w:keepNext/>
        <w:jc w:val="center"/>
      </w:pPr>
      <w:r>
        <w:drawing>
          <wp:inline xmlns:a="http://schemas.openxmlformats.org/drawingml/2006/main" xmlns:pic="http://schemas.openxmlformats.org/drawingml/2006/picture">
            <wp:extent cx="5760000" cy="3456000"/>
            <wp:docPr id="20" name="Picture 20" descr="/figures/2026-09-30-policy-structure-daegu/s2.svg" title="경제성장률과 산업집중도 변화율 산점도(요약-2와 같음)"/>
            <wp:cNvGraphicFramePr>
              <a:graphicFrameLocks noChangeAspect="1"/>
            </wp:cNvGraphicFramePr>
            <a:graphic>
              <a:graphicData uri="http://schemas.openxmlformats.org/drawingml/2006/picture">
                <pic:pic>
                  <pic:nvPicPr>
                    <pic:cNvPr id="0" name="s2.png"/>
                    <pic:cNvPicPr/>
                  </pic:nvPicPr>
                  <pic:blipFill>
                    <a:blip r:embed="rId10"/>
                    <a:stretch>
                      <a:fillRect/>
                    </a:stretch>
                  </pic:blipFill>
                  <pic:spPr>
                    <a:xfrm>
                      <a:off x="0" y="0"/>
                      <a:ext cx="5760000" cy="3456000"/>
                    </a:xfrm>
                    <a:prstGeom prst="rect"/>
                  </pic:spPr>
                </pic:pic>
              </a:graphicData>
            </a:graphic>
          </wp:inline>
        </w:drawing>
      </w:r>
    </w:p>
    <w:p>
      <w:pPr>
        <w:pStyle w:val="Caption"/>
        <w:jc w:val="center"/>
      </w:pPr>
      <w:r>
        <w:rPr>
          <w:rFonts w:ascii="맑은 고딕" w:hAnsi="맑은 고딕" w:eastAsia="맑은 고딕" w:cs="맑은 고딕"/>
          <w:color w:val="444444"/>
          <w:sz w:val="18"/>
        </w:rPr>
        <w:t>[그림 2-15] 경제성장률</w:t>
      </w:r>
      <w:r>
        <w:rPr>
          <w:rFonts w:ascii="맑은 고딕" w:hAnsi="맑은 고딕" w:eastAsia="맑은 고딕" w:cs="맑은 고딕"/>
          <w:color w:val="444444"/>
          <w:sz w:val="18"/>
          <w:vertAlign w:val="superscript"/>
        </w:rPr>
        <w:t>1)</w:t>
      </w:r>
      <w:r>
        <w:rPr>
          <w:rFonts w:ascii="맑은 고딕" w:hAnsi="맑은 고딕" w:eastAsia="맑은 고딕" w:cs="맑은 고딕"/>
          <w:color w:val="444444"/>
          <w:sz w:val="18"/>
        </w:rPr>
        <w:t>과 산업집중도 변화율</w:t>
      </w:r>
      <w:r>
        <w:rPr>
          <w:rFonts w:ascii="맑은 고딕" w:hAnsi="맑은 고딕" w:eastAsia="맑은 고딕" w:cs="맑은 고딕"/>
          <w:color w:val="444444"/>
          <w:sz w:val="18"/>
          <w:vertAlign w:val="superscript"/>
        </w:rPr>
        <w:t>2)</w:t>
      </w:r>
      <w:r>
        <w:rPr>
          <w:rFonts w:ascii="맑은 고딕" w:hAnsi="맑은 고딕" w:eastAsia="맑은 고딕" w:cs="맑은 고딕"/>
          <w:color w:val="444444"/>
          <w:sz w:val="18"/>
        </w:rPr>
        <w:t xml:space="preserve"> 간 관계 — 주: 1) 2015~24년 연평균 경제성장률 2) 2015~24년 연평균 산업집중도 변화율. 자료: 국가데이터처, 자체 계산</w:t>
      </w:r>
    </w:p>
    <w:p>
      <w:r>
        <w:rPr>
          <w:rFonts w:ascii="맑은 고딕" w:hAnsi="맑은 고딕" w:eastAsia="맑은 고딕" w:cs="맑은 고딕"/>
          <w:color w:val="444444"/>
          <w:sz w:val="18"/>
        </w:rPr>
        <w:t>3) 지역 내 산업들이 여러 분야에 고루 분포되어 있는지 특정 소수 산업에 집중되어 있는지 보여주는 지표로, 높을수록 소수 산업에 집중되어 있다. 자세한 정의는 &lt;참고 2&gt;.</w:t>
      </w:r>
    </w:p>
    <w:p>
      <w:r>
        <w:rPr>
          <w:rFonts w:ascii="맑은 고딕" w:hAnsi="맑은 고딕" w:eastAsia="맑은 고딕" w:cs="맑은 고딕"/>
          <w:b/>
        </w:rPr>
        <w:t>3. 산업집중도와 경제성장 간 양(+)의 관계는 집적경제(Agglomeration Economies)로 설명된다.</w:t>
      </w:r>
      <w:r>
        <w:rPr>
          <w:rFonts w:ascii="맑은 고딕" w:hAnsi="맑은 고딕" w:eastAsia="맑은 고딕" w:cs="맑은 고딕"/>
          <w:b/>
          <w:vertAlign w:val="superscript"/>
        </w:rPr>
        <w:t>8)</w:t>
      </w:r>
      <w:r>
        <w:rPr>
          <w:rFonts w:ascii="맑은 고딕" w:hAnsi="맑은 고딕" w:eastAsia="맑은 고딕" w:cs="맑은 고딕"/>
        </w:rPr>
        <w:t xml:space="preserve"> 산업집중도의 상승을 기업의 집적으로 본다면, 주력산업으로의 집적은 지식 파급, 물류·거래비용 감소에 따른 규모의 경제, 일자리 창출을 통한 인구 유입을 가져올 수 있다.</w:t>
      </w:r>
    </w:p>
    <w:p>
      <w:r>
        <w:rPr>
          <w:rFonts w:ascii="맑은 고딕" w:hAnsi="맑은 고딕" w:eastAsia="맑은 고딕" w:cs="맑은 고딕"/>
          <w:color w:val="444444"/>
          <w:sz w:val="18"/>
        </w:rPr>
        <w:t>8) 집적경제 경로는 원보고서의 개념 틀이다. 이 보고서는 상관관계와 패널회귀만 계산했고 경로 자체를 검증하지는 않았다. 산업집중도와 인구 증가율의 상관(0.40)은 세종(연평균 7.09%)의 영향이 커서 세종을 빼면 0.44다.</w:t>
      </w:r>
    </w:p>
    <w:p>
      <w:r>
        <w:rPr>
          <w:rFonts w:ascii="맑은 고딕" w:hAnsi="맑은 고딕" w:eastAsia="맑은 고딕" w:cs="맑은 고딕"/>
          <w:b/>
        </w:rPr>
        <w:t>표 2-16. 산업집중도와 경제성장 간 관계(개념)</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E8ECF2"/>
          </w:tcPr>
          <w:p>
            <w:pPr>
              <w:spacing w:after="0" w:line="276" w:lineRule="auto"/>
              <w:jc w:val="center"/>
            </w:pPr>
            <w:r>
              <w:rPr>
                <w:rFonts w:ascii="맑은 고딕" w:hAnsi="맑은 고딕" w:eastAsia="맑은 고딕" w:cs="맑은 고딕"/>
                <w:b/>
                <w:sz w:val="18"/>
              </w:rPr>
              <w:t>단계</w:t>
            </w:r>
          </w:p>
        </w:tc>
        <w:tc>
          <w:tcPr>
            <w:tcW w:type="dxa" w:w="4706"/>
            <w:shd w:val="clear" w:color="auto" w:fill="E8ECF2"/>
          </w:tcPr>
          <w:p>
            <w:pPr>
              <w:spacing w:after="0" w:line="276" w:lineRule="auto"/>
              <w:jc w:val="center"/>
            </w:pPr>
            <w:r>
              <w:rPr>
                <w:rFonts w:ascii="맑은 고딕" w:hAnsi="맑은 고딕" w:eastAsia="맑은 고딕" w:cs="맑은 고딕"/>
                <w:b/>
                <w:sz w:val="18"/>
              </w:rPr>
              <w:t>내용</w:t>
            </w:r>
          </w:p>
        </w:tc>
      </w:tr>
      <w:tr>
        <w:tc>
          <w:tcPr>
            <w:tcW w:type="dxa" w:w="4706"/>
          </w:tcPr>
          <w:p>
            <w:pPr>
              <w:spacing w:after="0" w:line="276" w:lineRule="auto"/>
            </w:pPr>
            <w:r>
              <w:rPr>
                <w:rFonts w:ascii="맑은 고딕" w:hAnsi="맑은 고딕" w:eastAsia="맑은 고딕" w:cs="맑은 고딕"/>
                <w:sz w:val="18"/>
              </w:rPr>
              <w:t>기업집적 증가 · 산업집중도 상승</w:t>
            </w:r>
          </w:p>
        </w:tc>
        <w:tc>
          <w:tcPr>
            <w:tcW w:type="dxa" w:w="4706"/>
          </w:tcPr>
          <w:p>
            <w:pPr>
              <w:spacing w:after="0" w:line="276" w:lineRule="auto"/>
            </w:pPr>
            <w:r>
              <w:rPr>
                <w:rFonts w:ascii="맑은 고딕" w:hAnsi="맑은 고딕" w:eastAsia="맑은 고딕" w:cs="맑은 고딕"/>
                <w:sz w:val="18"/>
              </w:rPr>
              <w:t>주력산업으로의 집적</w:t>
            </w:r>
          </w:p>
        </w:tc>
      </w:tr>
      <w:tr>
        <w:tc>
          <w:tcPr>
            <w:tcW w:type="dxa" w:w="4706"/>
          </w:tcPr>
          <w:p>
            <w:pPr>
              <w:spacing w:after="0" w:line="276" w:lineRule="auto"/>
            </w:pPr>
            <w:r>
              <w:rPr>
                <w:rFonts w:ascii="맑은 고딕" w:hAnsi="맑은 고딕" w:eastAsia="맑은 고딕" w:cs="맑은 고딕"/>
                <w:sz w:val="18"/>
              </w:rPr>
              <w:t>지식파급 · 거래·물류비용 감소 · 인구유입</w:t>
            </w:r>
          </w:p>
        </w:tc>
        <w:tc>
          <w:tcPr>
            <w:tcW w:type="dxa" w:w="4706"/>
          </w:tcPr>
          <w:p>
            <w:pPr>
              <w:spacing w:after="0" w:line="276" w:lineRule="auto"/>
            </w:pPr>
            <w:r>
              <w:rPr>
                <w:rFonts w:ascii="맑은 고딕" w:hAnsi="맑은 고딕" w:eastAsia="맑은 고딕" w:cs="맑은 고딕"/>
                <w:sz w:val="18"/>
              </w:rPr>
              <w:t>집적경제 효과</w:t>
            </w:r>
          </w:p>
        </w:tc>
      </w:tr>
      <w:tr>
        <w:tc>
          <w:tcPr>
            <w:tcW w:type="dxa" w:w="4706"/>
          </w:tcPr>
          <w:p>
            <w:pPr>
              <w:spacing w:after="0" w:line="276" w:lineRule="auto"/>
            </w:pPr>
            <w:r>
              <w:rPr>
                <w:rFonts w:ascii="맑은 고딕" w:hAnsi="맑은 고딕" w:eastAsia="맑은 고딕" w:cs="맑은 고딕"/>
                <w:sz w:val="18"/>
              </w:rPr>
              <w:t>총요소생산성 향상</w:t>
            </w:r>
          </w:p>
        </w:tc>
        <w:tc>
          <w:tcPr>
            <w:tcW w:type="dxa" w:w="4706"/>
          </w:tcPr>
          <w:p>
            <w:pPr>
              <w:spacing w:after="0" w:line="276" w:lineRule="auto"/>
            </w:pPr>
            <w:r>
              <w:rPr>
                <w:rFonts w:ascii="맑은 고딕" w:hAnsi="맑은 고딕" w:eastAsia="맑은 고딕" w:cs="맑은 고딕"/>
                <w:sz w:val="18"/>
              </w:rPr>
              <w:t>생산성 경로</w:t>
            </w:r>
          </w:p>
        </w:tc>
      </w:tr>
      <w:tr>
        <w:tc>
          <w:tcPr>
            <w:tcW w:type="dxa" w:w="4706"/>
          </w:tcPr>
          <w:p>
            <w:pPr>
              <w:spacing w:after="0" w:line="276" w:lineRule="auto"/>
            </w:pPr>
            <w:r>
              <w:rPr>
                <w:rFonts w:ascii="맑은 고딕" w:hAnsi="맑은 고딕" w:eastAsia="맑은 고딕" w:cs="맑은 고딕"/>
                <w:sz w:val="18"/>
              </w:rPr>
              <w:t>지역경제 성장</w:t>
            </w:r>
          </w:p>
        </w:tc>
        <w:tc>
          <w:tcPr>
            <w:tcW w:type="dxa" w:w="4706"/>
          </w:tcPr>
          <w:p>
            <w:pPr>
              <w:spacing w:after="0" w:line="276" w:lineRule="auto"/>
            </w:pPr>
            <w:r>
              <w:rPr>
                <w:rFonts w:ascii="맑은 고딕" w:hAnsi="맑은 고딕" w:eastAsia="맑은 고딕" w:cs="맑은 고딕"/>
                <w:sz w:val="18"/>
              </w:rPr>
              <w:t>결과</w:t>
            </w:r>
          </w:p>
        </w:tc>
      </w:tr>
    </w:tbl>
    <w:p/>
    <w:p>
      <w:r>
        <w:rPr>
          <w:rFonts w:ascii="맑은 고딕" w:hAnsi="맑은 고딕" w:eastAsia="맑은 고딕" w:cs="맑은 고딕"/>
          <w:b/>
        </w:rPr>
        <w:t>4. 산업집중도 변화율이 큰 지역은 인구 성장률도 평균적으로 높게 계산됐다.</w:t>
      </w:r>
      <w:r>
        <w:rPr>
          <w:rFonts w:ascii="맑은 고딕" w:hAnsi="맑은 고딕" w:eastAsia="맑은 고딕" w:cs="맑은 고딕"/>
        </w:rPr>
        <w:t xml:space="preserve"> 지난 10년간 산업집중도 변화율의 17개 시도 평균을 기준으로 상·하위 지역의 주민등록인구 증가율(행정안전부, 2015~24년 연평균)을 비교하면 고집중 지역은 연평균 0.61% 증가한 반면 저집중 지역은 0.67% 감소했다. 상·하위 3개 지역 비교에서는 2.62% 대 -0.73%, 5개는 1.64% 대 -0.65%, 8개는 0.75% 대 -0.46%다(세종의 인구 증가율 7.09%가 고집중 쪽 평균을 끌어올리므로 3개·5개 비교는 세종의 영향이 크다).</w:t>
      </w:r>
    </w:p>
    <w:p>
      <w:pPr>
        <w:keepNext/>
        <w:jc w:val="center"/>
      </w:pPr>
      <w:r>
        <w:drawing>
          <wp:inline xmlns:a="http://schemas.openxmlformats.org/drawingml/2006/main" xmlns:pic="http://schemas.openxmlformats.org/drawingml/2006/picture">
            <wp:extent cx="5760000" cy="3024000"/>
            <wp:docPr id="21" name="Picture 21" descr="/figures/2026-09-30-policy-structure-daegu/fig2-17.svg" title="고집중 지역과 저집중 지역의 주민등록인구 증가율 비교 막대"/>
            <wp:cNvGraphicFramePr>
              <a:graphicFrameLocks noChangeAspect="1"/>
            </wp:cNvGraphicFramePr>
            <a:graphic>
              <a:graphicData uri="http://schemas.openxmlformats.org/drawingml/2006/picture">
                <pic:pic>
                  <pic:nvPicPr>
                    <pic:cNvPr id="0" name="fig2-17.png"/>
                    <pic:cNvPicPr/>
                  </pic:nvPicPr>
                  <pic:blipFill>
                    <a:blip r:embed="rId27"/>
                    <a:stretch>
                      <a:fillRect/>
                    </a:stretch>
                  </pic:blipFill>
                  <pic:spPr>
                    <a:xfrm>
                      <a:off x="0" y="0"/>
                      <a:ext cx="5760000" cy="3024000"/>
                    </a:xfrm>
                    <a:prstGeom prst="rect"/>
                  </pic:spPr>
                </pic:pic>
              </a:graphicData>
            </a:graphic>
          </wp:inline>
        </w:drawing>
      </w:r>
    </w:p>
    <w:p>
      <w:pPr>
        <w:pStyle w:val="Caption"/>
        <w:jc w:val="center"/>
      </w:pPr>
      <w:r>
        <w:rPr>
          <w:rFonts w:ascii="맑은 고딕" w:hAnsi="맑은 고딕" w:eastAsia="맑은 고딕" w:cs="맑은 고딕"/>
          <w:color w:val="444444"/>
          <w:sz w:val="18"/>
        </w:rPr>
        <w:t>[그림 2-17] 고집중 vs 저집중 지역 간 인구성장률 차이 — 주: 2015~24년 연평균 주민등록인구 증가율(행정안전부 주민등록인구현황, KOSIS). 자료: 국가데이터처, 자체 계산</w:t>
      </w:r>
    </w:p>
    <w:p>
      <w:r>
        <w:rPr>
          <w:rFonts w:ascii="맑은 고딕" w:hAnsi="맑은 고딕" w:eastAsia="맑은 고딕" w:cs="맑은 고딕"/>
          <w:b/>
        </w:rPr>
        <w:t>[ 대 구 ]</w:t>
      </w:r>
    </w:p>
    <w:p>
      <w:r>
        <w:rPr>
          <w:rFonts w:ascii="맑은 고딕" w:hAnsi="맑은 고딕" w:eastAsia="맑은 고딕" w:cs="맑은 고딕"/>
          <w:b/>
        </w:rPr>
        <w:t>5. 대구의 산업집중도는 전국 하위권이며, 부가가치가 여러 업종에 분산된 형태다.</w:t>
      </w:r>
      <w:r>
        <w:rPr>
          <w:rFonts w:ascii="맑은 고딕" w:hAnsi="맑은 고딕" w:eastAsia="맑은 고딕" w:cs="맑은 고딕"/>
        </w:rPr>
        <w:t xml:space="preserve"> 2024년 대구의 산업집중도(HHI)는 619로 17개 시도 평균(809)을 밑돌아 16번째다. 2014년 651에서 2021년 666까지 올랐다가 2022년 663, 2023년 632, 2024년 619로 낮아졌고, 2015~24년 연평균 변화율은 -0.40%다. 같은 기간 대구의 경제성장률은 1.15%로 전국(2.47%)보다 낮다. 대구에서 비중이 큰 부문은 보건·사회복지(9.9%), 부동산업(9.0%), 도소매(8.9%), 공공행정(7.7%), 교육(7.4%), 금융·보험(7.0%), 기계·운송장비·기타(6.8%)로 10%를 넘는 부문이 없다.</w:t>
      </w:r>
    </w:p>
    <w:p>
      <w:r>
        <w:rPr>
          <w:rFonts w:ascii="맑은 고딕" w:hAnsi="맑은 고딕" w:eastAsia="맑은 고딕" w:cs="맑은 고딕"/>
          <w:b/>
        </w:rPr>
        <w:t>6. 대구광역시 2026년 본예산 사업설명서의 신산업 관련 신규 세부사업은 표 2-2와 같다.</w:t>
      </w:r>
      <w:r>
        <w:rPr>
          <w:rFonts w:ascii="맑은 고딕" w:hAnsi="맑은 고딕" w:eastAsia="맑은 고딕" w:cs="맑은 고딕"/>
        </w:rPr>
        <w:t xml:space="preserve"> 사업명·부서만 옮겼고 예산액은 적지 않았다.</w:t>
      </w:r>
    </w:p>
    <w:p>
      <w:r>
        <w:rPr>
          <w:rFonts w:ascii="맑은 고딕" w:hAnsi="맑은 고딕" w:eastAsia="맑은 고딕" w:cs="맑은 고딕"/>
          <w:b/>
        </w:rPr>
        <w:t>[표 2-2] 대구시 신산업 관련 2026년 신규 세부사업(사업명·부서만)</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E8ECF2"/>
          </w:tcPr>
          <w:p>
            <w:pPr>
              <w:spacing w:after="0" w:line="276" w:lineRule="auto"/>
              <w:jc w:val="center"/>
            </w:pPr>
            <w:r>
              <w:rPr>
                <w:rFonts w:ascii="맑은 고딕" w:hAnsi="맑은 고딕" w:eastAsia="맑은 고딕" w:cs="맑은 고딕"/>
                <w:b/>
                <w:sz w:val="18"/>
              </w:rPr>
              <w:t>분야</w:t>
            </w:r>
          </w:p>
        </w:tc>
        <w:tc>
          <w:tcPr>
            <w:tcW w:type="dxa" w:w="3137"/>
            <w:shd w:val="clear" w:color="auto" w:fill="E8ECF2"/>
          </w:tcPr>
          <w:p>
            <w:pPr>
              <w:spacing w:after="0" w:line="276" w:lineRule="auto"/>
              <w:jc w:val="center"/>
            </w:pPr>
            <w:r>
              <w:rPr>
                <w:rFonts w:ascii="맑은 고딕" w:hAnsi="맑은 고딕" w:eastAsia="맑은 고딕" w:cs="맑은 고딕"/>
                <w:b/>
                <w:sz w:val="18"/>
              </w:rPr>
              <w:t>세부사업</w:t>
            </w:r>
          </w:p>
        </w:tc>
        <w:tc>
          <w:tcPr>
            <w:tcW w:type="dxa" w:w="3137"/>
            <w:shd w:val="clear" w:color="auto" w:fill="E8ECF2"/>
          </w:tcPr>
          <w:p>
            <w:pPr>
              <w:spacing w:after="0" w:line="276" w:lineRule="auto"/>
              <w:jc w:val="center"/>
            </w:pPr>
            <w:r>
              <w:rPr>
                <w:rFonts w:ascii="맑은 고딕" w:hAnsi="맑은 고딕" w:eastAsia="맑은 고딕" w:cs="맑은 고딕"/>
                <w:b/>
                <w:sz w:val="18"/>
              </w:rPr>
              <w:t>부서</w:t>
            </w:r>
          </w:p>
        </w:tc>
      </w:tr>
      <w:tr>
        <w:tc>
          <w:tcPr>
            <w:tcW w:type="dxa" w:w="3137"/>
          </w:tcPr>
          <w:p>
            <w:pPr>
              <w:spacing w:after="0" w:line="276" w:lineRule="auto"/>
            </w:pPr>
            <w:r>
              <w:rPr>
                <w:rFonts w:ascii="맑은 고딕" w:hAnsi="맑은 고딕" w:eastAsia="맑은 고딕" w:cs="맑은 고딕"/>
                <w:sz w:val="18"/>
              </w:rPr>
              <w:t>로봇</w:t>
            </w:r>
          </w:p>
        </w:tc>
        <w:tc>
          <w:tcPr>
            <w:tcW w:type="dxa" w:w="3137"/>
          </w:tcPr>
          <w:p>
            <w:pPr>
              <w:spacing w:after="0" w:line="276" w:lineRule="auto"/>
            </w:pPr>
            <w:r>
              <w:rPr>
                <w:rFonts w:ascii="맑은 고딕" w:hAnsi="맑은 고딕" w:eastAsia="맑은 고딕" w:cs="맑은 고딕"/>
                <w:sz w:val="18"/>
              </w:rPr>
              <w:t>로봇산업기술혁신센터 조성 지원 · 글로벌 AI로봇 해커톤 개최 지원 · 물류로봇경진대회 개최 지원</w:t>
            </w:r>
          </w:p>
        </w:tc>
        <w:tc>
          <w:tcPr>
            <w:tcW w:type="dxa" w:w="3137"/>
          </w:tcPr>
          <w:p>
            <w:pPr>
              <w:spacing w:after="0" w:line="276" w:lineRule="auto"/>
            </w:pPr>
            <w:r>
              <w:rPr>
                <w:rFonts w:ascii="맑은 고딕" w:hAnsi="맑은 고딕" w:eastAsia="맑은 고딕" w:cs="맑은 고딕"/>
                <w:sz w:val="18"/>
              </w:rPr>
              <w:t>미래혁신성장실 기계로봇과</w:t>
            </w:r>
          </w:p>
        </w:tc>
      </w:tr>
      <w:tr>
        <w:tc>
          <w:tcPr>
            <w:tcW w:type="dxa" w:w="3137"/>
          </w:tcPr>
          <w:p>
            <w:pPr>
              <w:spacing w:after="0" w:line="276" w:lineRule="auto"/>
            </w:pPr>
            <w:r>
              <w:rPr>
                <w:rFonts w:ascii="맑은 고딕" w:hAnsi="맑은 고딕" w:eastAsia="맑은 고딕" w:cs="맑은 고딕"/>
                <w:sz w:val="18"/>
              </w:rPr>
              <w:t>제조 AX</w:t>
            </w:r>
          </w:p>
        </w:tc>
        <w:tc>
          <w:tcPr>
            <w:tcW w:type="dxa" w:w="3137"/>
          </w:tcPr>
          <w:p>
            <w:pPr>
              <w:spacing w:after="0" w:line="276" w:lineRule="auto"/>
            </w:pPr>
            <w:r>
              <w:rPr>
                <w:rFonts w:ascii="맑은 고딕" w:hAnsi="맑은 고딕" w:eastAsia="맑은 고딕" w:cs="맑은 고딕"/>
                <w:sz w:val="18"/>
              </w:rPr>
              <w:t>스마트공장(기초) 구축지원사업</w:t>
            </w:r>
          </w:p>
        </w:tc>
        <w:tc>
          <w:tcPr>
            <w:tcW w:type="dxa" w:w="3137"/>
          </w:tcPr>
          <w:p>
            <w:pPr>
              <w:spacing w:after="0" w:line="276" w:lineRule="auto"/>
            </w:pPr>
            <w:r>
              <w:rPr>
                <w:rFonts w:ascii="맑은 고딕" w:hAnsi="맑은 고딕" w:eastAsia="맑은 고딕" w:cs="맑은 고딕"/>
                <w:sz w:val="18"/>
              </w:rPr>
              <w:t>미래혁신성장실 기계로봇과</w:t>
            </w:r>
          </w:p>
        </w:tc>
      </w:tr>
      <w:tr>
        <w:tc>
          <w:tcPr>
            <w:tcW w:type="dxa" w:w="3137"/>
          </w:tcPr>
          <w:p>
            <w:pPr>
              <w:spacing w:after="0" w:line="276" w:lineRule="auto"/>
            </w:pPr>
            <w:r>
              <w:rPr>
                <w:rFonts w:ascii="맑은 고딕" w:hAnsi="맑은 고딕" w:eastAsia="맑은 고딕" w:cs="맑은 고딕"/>
                <w:sz w:val="18"/>
              </w:rPr>
              <w:t>디지털</w:t>
            </w:r>
          </w:p>
        </w:tc>
        <w:tc>
          <w:tcPr>
            <w:tcW w:type="dxa" w:w="3137"/>
          </w:tcPr>
          <w:p>
            <w:pPr>
              <w:spacing w:after="0" w:line="276" w:lineRule="auto"/>
            </w:pPr>
            <w:r>
              <w:rPr>
                <w:rFonts w:ascii="맑은 고딕" w:hAnsi="맑은 고딕" w:eastAsia="맑은 고딕" w:cs="맑은 고딕"/>
                <w:sz w:val="18"/>
              </w:rPr>
              <w:t>스마트도시 데이터 플랫폼 · 대구디지털혁신진흥원 운영비 지원</w:t>
            </w:r>
          </w:p>
        </w:tc>
        <w:tc>
          <w:tcPr>
            <w:tcW w:type="dxa" w:w="3137"/>
          </w:tcPr>
          <w:p>
            <w:pPr>
              <w:spacing w:after="0" w:line="276" w:lineRule="auto"/>
            </w:pPr>
            <w:r>
              <w:rPr>
                <w:rFonts w:ascii="맑은 고딕" w:hAnsi="맑은 고딕" w:eastAsia="맑은 고딕" w:cs="맑은 고딕"/>
                <w:sz w:val="18"/>
              </w:rPr>
              <w:t>미래혁신성장실 미래혁신정책관</w:t>
            </w:r>
          </w:p>
        </w:tc>
      </w:tr>
      <w:tr>
        <w:tc>
          <w:tcPr>
            <w:tcW w:type="dxa" w:w="3137"/>
          </w:tcPr>
          <w:p>
            <w:pPr>
              <w:spacing w:after="0" w:line="276" w:lineRule="auto"/>
            </w:pPr>
            <w:r>
              <w:rPr>
                <w:rFonts w:ascii="맑은 고딕" w:hAnsi="맑은 고딕" w:eastAsia="맑은 고딕" w:cs="맑은 고딕"/>
                <w:sz w:val="18"/>
              </w:rPr>
              <w:t>의료·헬스케어</w:t>
            </w:r>
          </w:p>
        </w:tc>
        <w:tc>
          <w:tcPr>
            <w:tcW w:type="dxa" w:w="3137"/>
          </w:tcPr>
          <w:p>
            <w:pPr>
              <w:spacing w:after="0" w:line="276" w:lineRule="auto"/>
            </w:pPr>
            <w:r>
              <w:rPr>
                <w:rFonts w:ascii="맑은 고딕" w:hAnsi="맑은 고딕" w:eastAsia="맑은 고딕" w:cs="맑은 고딕"/>
                <w:sz w:val="18"/>
              </w:rPr>
              <w:t>AI 바이오·메디시티대구 협업사업 지원 · 지역 의료·헬스케어 산업 고도화 지원 · 국립치의학연구원 유치 지원</w:t>
            </w:r>
          </w:p>
        </w:tc>
        <w:tc>
          <w:tcPr>
            <w:tcW w:type="dxa" w:w="3137"/>
          </w:tcPr>
          <w:p>
            <w:pPr>
              <w:spacing w:after="0" w:line="276" w:lineRule="auto"/>
            </w:pPr>
            <w:r>
              <w:rPr>
                <w:rFonts w:ascii="맑은 고딕" w:hAnsi="맑은 고딕" w:eastAsia="맑은 고딕" w:cs="맑은 고딕"/>
                <w:sz w:val="18"/>
              </w:rPr>
              <w:t>미래혁신성장실 의료산업과</w:t>
            </w:r>
          </w:p>
        </w:tc>
      </w:tr>
      <w:tr>
        <w:tc>
          <w:tcPr>
            <w:tcW w:type="dxa" w:w="3137"/>
          </w:tcPr>
          <w:p>
            <w:pPr>
              <w:spacing w:after="0" w:line="276" w:lineRule="auto"/>
            </w:pPr>
            <w:r>
              <w:rPr>
                <w:rFonts w:ascii="맑은 고딕" w:hAnsi="맑은 고딕" w:eastAsia="맑은 고딕" w:cs="맑은 고딕"/>
                <w:sz w:val="18"/>
              </w:rPr>
              <w:t>섬유</w:t>
            </w:r>
          </w:p>
        </w:tc>
        <w:tc>
          <w:tcPr>
            <w:tcW w:type="dxa" w:w="3137"/>
          </w:tcPr>
          <w:p>
            <w:pPr>
              <w:spacing w:after="0" w:line="276" w:lineRule="auto"/>
            </w:pPr>
            <w:r>
              <w:rPr>
                <w:rFonts w:ascii="맑은 고딕" w:hAnsi="맑은 고딕" w:eastAsia="맑은 고딕" w:cs="맑은 고딕"/>
                <w:sz w:val="18"/>
              </w:rPr>
              <w:t>하이테크 섬유패션 밸류업 마켓 솔루션 지원 · 섬유산업 고도화 지원단 운영 · 디지털 봉제 클러스터 맵 구축 및 활용 지원</w:t>
            </w:r>
          </w:p>
        </w:tc>
        <w:tc>
          <w:tcPr>
            <w:tcW w:type="dxa" w:w="3137"/>
          </w:tcPr>
          <w:p>
            <w:pPr>
              <w:spacing w:after="0" w:line="276" w:lineRule="auto"/>
            </w:pPr>
            <w:r>
              <w:rPr>
                <w:rFonts w:ascii="맑은 고딕" w:hAnsi="맑은 고딕" w:eastAsia="맑은 고딕" w:cs="맑은 고딕"/>
                <w:sz w:val="18"/>
              </w:rPr>
              <w:t>경제국 섬유패션과</w:t>
            </w:r>
          </w:p>
        </w:tc>
      </w:tr>
      <w:tr>
        <w:tc>
          <w:tcPr>
            <w:tcW w:type="dxa" w:w="3137"/>
          </w:tcPr>
          <w:p>
            <w:pPr>
              <w:spacing w:after="0" w:line="276" w:lineRule="auto"/>
            </w:pPr>
            <w:r>
              <w:rPr>
                <w:rFonts w:ascii="맑은 고딕" w:hAnsi="맑은 고딕" w:eastAsia="맑은 고딕" w:cs="맑은 고딕"/>
                <w:sz w:val="18"/>
              </w:rPr>
              <w:t>산업단지</w:t>
            </w:r>
          </w:p>
        </w:tc>
        <w:tc>
          <w:tcPr>
            <w:tcW w:type="dxa" w:w="3137"/>
          </w:tcPr>
          <w:p>
            <w:pPr>
              <w:spacing w:after="0" w:line="276" w:lineRule="auto"/>
            </w:pPr>
            <w:r>
              <w:rPr>
                <w:rFonts w:ascii="맑은 고딕" w:hAnsi="맑은 고딕" w:eastAsia="맑은 고딕" w:cs="맑은 고딕"/>
                <w:sz w:val="18"/>
              </w:rPr>
              <w:t>성서산단 휴폐업공장 리모델링 위탁운영 지원 · 제3산단 제2임대형지식산업센터 건립</w:t>
            </w:r>
          </w:p>
        </w:tc>
        <w:tc>
          <w:tcPr>
            <w:tcW w:type="dxa" w:w="3137"/>
          </w:tcPr>
          <w:p>
            <w:pPr>
              <w:spacing w:after="0" w:line="276" w:lineRule="auto"/>
            </w:pPr>
            <w:r>
              <w:rPr>
                <w:rFonts w:ascii="맑은 고딕" w:hAnsi="맑은 고딕" w:eastAsia="맑은 고딕" w:cs="맑은 고딕"/>
                <w:sz w:val="18"/>
              </w:rPr>
              <w:t>경제국 산단진흥과</w:t>
            </w:r>
          </w:p>
        </w:tc>
      </w:tr>
    </w:tbl>
    <w:p/>
    <w:p>
      <w:r>
        <w:rPr>
          <w:rFonts w:ascii="맑은 고딕" w:hAnsi="맑은 고딕" w:eastAsia="맑은 고딕" w:cs="맑은 고딕"/>
          <w:color w:val="444444"/>
          <w:sz w:val="18"/>
        </w:rPr>
        <w:t>자료: 대구광역시 2026년 본예산 사업설명서(사업 DB, 상태 '신규' 가운데 신산업 낱말이 든 것)</w:t>
      </w:r>
    </w:p>
    <w:p>
      <w:pPr>
        <w:pStyle w:val="Heading2"/>
      </w:pPr>
      <w:r>
        <w:rPr>
          <w:rFonts w:ascii="맑은 고딕" w:hAnsi="맑은 고딕" w:eastAsia="맑은 고딕" w:cs="맑은 고딕"/>
        </w:rPr>
        <w:t>4 산업구조 변화속도</w:t>
      </w:r>
      <w:r>
        <w:rPr>
          <w:rFonts w:ascii="맑은 고딕" w:hAnsi="맑은 고딕" w:eastAsia="맑은 고딕" w:cs="맑은 고딕"/>
          <w:vertAlign w:val="superscript"/>
        </w:rPr>
        <w:t>5)</w:t>
      </w:r>
      <w:r>
        <w:rPr>
          <w:rFonts w:ascii="맑은 고딕" w:hAnsi="맑은 고딕" w:eastAsia="맑은 고딕" w:cs="맑은 고딕"/>
        </w:rPr>
        <w:t xml:space="preserve"> 측면</w:t>
      </w:r>
    </w:p>
    <w:p>
      <w:r>
        <w:rPr>
          <w:rFonts w:ascii="맑은 고딕" w:hAnsi="맑은 고딕" w:eastAsia="맑은 고딕" w:cs="맑은 고딕"/>
          <w:b/>
        </w:rPr>
        <w:t>[ 전 국 ]</w:t>
      </w:r>
    </w:p>
    <w:p>
      <w:r>
        <w:rPr>
          <w:rFonts w:ascii="맑은 고딕" w:hAnsi="맑은 고딕" w:eastAsia="맑은 고딕" w:cs="맑은 고딕"/>
          <w:b/>
        </w:rPr>
        <w:t>1. 최근(2015~24년) 시·도별 산업구조 변화속도는 울산(0.0498)·세종(0.0384)·전남(0.0380)·제주(0.0336)가 높고 서울(0.0179)·강원(0.0216)·대전(0.0219)·전북(0.0234)이 낮다.</w:t>
      </w:r>
      <w:r>
        <w:rPr>
          <w:rFonts w:ascii="맑은 고딕" w:hAnsi="맑은 고딕" w:eastAsia="맑은 고딕" w:cs="맑은 고딕"/>
        </w:rPr>
        <w:t xml:space="preserve"> 변화가 컸던 부문을 보면 울산·전남은 석탄·석유·화학 비중이 각각 3.7%p·4.0%p 줄었고, 세종은 건설업이 8.8%p 줄고 공공행정이 6.1%p 늘었으며, 제주도 건설업 감소와 공공행정 증가가 컸다. 변화속도가 낮은 서울은 도소매가 줄고 전문·과학·기술과 금융·보험이 늘었으며, 강원·전북은 공공행정 비중 증가가 가장 큰 변동이었다. 대구는 0.0239로 17개 시도 평균(0.0294)보다 낮은 13번째다.</w:t>
      </w:r>
    </w:p>
    <w:p>
      <w:r>
        <w:rPr>
          <w:rFonts w:ascii="맑은 고딕" w:hAnsi="맑은 고딕" w:eastAsia="맑은 고딕" w:cs="맑은 고딕"/>
          <w:b/>
        </w:rPr>
        <w:t>2. 산업구조 변화속도와 실질 경제성장률 간 뚜렷한 선형관계는 관찰되지 않았다.</w:t>
      </w:r>
      <w:r>
        <w:rPr>
          <w:rFonts w:ascii="맑은 고딕" w:hAnsi="맑은 고딕" w:eastAsia="맑은 고딕" w:cs="맑은 고딕"/>
        </w:rPr>
        <w:t xml:space="preserve"> 변화속도가 낮은 서울·대전은 전국 평균 수준(2.4%대)으로 성장했고, 변화속도가 높은 지역 가운데 세종은 4.14%, 제주는 평균 수준(2.32%), 울산·전남·경북은 0~1%대로 갈렸다. 17개 시도의 변화속도와 성장률 상관계수는 -0.21이다. 대구는 변화속도와 성장률이 모두 평균보다 낮은 사분면에 있다.</w:t>
      </w:r>
    </w:p>
    <w:p>
      <w:pPr>
        <w:keepNext/>
        <w:jc w:val="center"/>
      </w:pPr>
      <w:r>
        <w:drawing>
          <wp:inline xmlns:a="http://schemas.openxmlformats.org/drawingml/2006/main" xmlns:pic="http://schemas.openxmlformats.org/drawingml/2006/picture">
            <wp:extent cx="5760000" cy="3024000"/>
            <wp:docPr id="22" name="Picture 22" descr="/figures/2026-09-30-policy-structure-daegu/fig2-19.svg" title="17개 시도의 2015~24년 연평균 산업구조 변화속도 막대"/>
            <wp:cNvGraphicFramePr>
              <a:graphicFrameLocks noChangeAspect="1"/>
            </wp:cNvGraphicFramePr>
            <a:graphic>
              <a:graphicData uri="http://schemas.openxmlformats.org/drawingml/2006/picture">
                <pic:pic>
                  <pic:nvPicPr>
                    <pic:cNvPr id="0" name="fig2-19.png"/>
                    <pic:cNvPicPr/>
                  </pic:nvPicPr>
                  <pic:blipFill>
                    <a:blip r:embed="rId28"/>
                    <a:stretch>
                      <a:fillRect/>
                    </a:stretch>
                  </pic:blipFill>
                  <pic:spPr>
                    <a:xfrm>
                      <a:off x="0" y="0"/>
                      <a:ext cx="5760000" cy="3024000"/>
                    </a:xfrm>
                    <a:prstGeom prst="rect"/>
                  </pic:spPr>
                </pic:pic>
              </a:graphicData>
            </a:graphic>
          </wp:inline>
        </w:drawing>
      </w:r>
    </w:p>
    <w:p>
      <w:pPr>
        <w:pStyle w:val="Caption"/>
        <w:jc w:val="center"/>
      </w:pPr>
      <w:r>
        <w:rPr>
          <w:rFonts w:ascii="맑은 고딕" w:hAnsi="맑은 고딕" w:eastAsia="맑은 고딕" w:cs="맑은 고딕"/>
          <w:color w:val="444444"/>
          <w:sz w:val="18"/>
        </w:rPr>
        <w:t>[그림 2-19] 최근 시·도별 산업구조 변화속도</w:t>
      </w:r>
      <w:r>
        <w:rPr>
          <w:rFonts w:ascii="맑은 고딕" w:hAnsi="맑은 고딕" w:eastAsia="맑은 고딕" w:cs="맑은 고딕"/>
          <w:color w:val="444444"/>
          <w:sz w:val="18"/>
          <w:vertAlign w:val="superscript"/>
        </w:rPr>
        <w:t>1)</w:t>
      </w:r>
      <w:r>
        <w:rPr>
          <w:rFonts w:ascii="맑은 고딕" w:hAnsi="맑은 고딕" w:eastAsia="맑은 고딕" w:cs="맑은 고딕"/>
          <w:color w:val="444444"/>
          <w:sz w:val="18"/>
        </w:rPr>
        <w:t xml:space="preserve"> — 주: 1) 2015~24년 연평균 산업구조변화지수, 17개 시도 평균 0.0294. 자료: 자체 계산</w:t>
      </w:r>
    </w:p>
    <w:p>
      <w:pPr>
        <w:keepNext/>
        <w:jc w:val="center"/>
      </w:pPr>
      <w:r>
        <w:drawing>
          <wp:inline xmlns:a="http://schemas.openxmlformats.org/drawingml/2006/main" xmlns:pic="http://schemas.openxmlformats.org/drawingml/2006/picture">
            <wp:extent cx="5760000" cy="3456000"/>
            <wp:docPr id="23" name="Picture 23" descr="/figures/2026-09-30-policy-structure-daegu/fig2-20.svg" title="산업구조 변화속도와 경제성장률 산점도"/>
            <wp:cNvGraphicFramePr>
              <a:graphicFrameLocks noChangeAspect="1"/>
            </wp:cNvGraphicFramePr>
            <a:graphic>
              <a:graphicData uri="http://schemas.openxmlformats.org/drawingml/2006/picture">
                <pic:pic>
                  <pic:nvPicPr>
                    <pic:cNvPr id="0" name="fig2-20.png"/>
                    <pic:cNvPicPr/>
                  </pic:nvPicPr>
                  <pic:blipFill>
                    <a:blip r:embed="rId29"/>
                    <a:stretch>
                      <a:fillRect/>
                    </a:stretch>
                  </pic:blipFill>
                  <pic:spPr>
                    <a:xfrm>
                      <a:off x="0" y="0"/>
                      <a:ext cx="5760000" cy="3456000"/>
                    </a:xfrm>
                    <a:prstGeom prst="rect"/>
                  </pic:spPr>
                </pic:pic>
              </a:graphicData>
            </a:graphic>
          </wp:inline>
        </w:drawing>
      </w:r>
    </w:p>
    <w:p>
      <w:pPr>
        <w:pStyle w:val="Caption"/>
        <w:jc w:val="center"/>
      </w:pPr>
      <w:r>
        <w:rPr>
          <w:rFonts w:ascii="맑은 고딕" w:hAnsi="맑은 고딕" w:eastAsia="맑은 고딕" w:cs="맑은 고딕"/>
          <w:color w:val="444444"/>
          <w:sz w:val="18"/>
        </w:rPr>
        <w:t>[그림 2-20] 산업구조 변화속도</w:t>
      </w:r>
      <w:r>
        <w:rPr>
          <w:rFonts w:ascii="맑은 고딕" w:hAnsi="맑은 고딕" w:eastAsia="맑은 고딕" w:cs="맑은 고딕"/>
          <w:color w:val="444444"/>
          <w:sz w:val="18"/>
          <w:vertAlign w:val="superscript"/>
        </w:rPr>
        <w:t>1)</w:t>
      </w:r>
      <w:r>
        <w:rPr>
          <w:rFonts w:ascii="맑은 고딕" w:hAnsi="맑은 고딕" w:eastAsia="맑은 고딕" w:cs="맑은 고딕"/>
          <w:color w:val="444444"/>
          <w:sz w:val="18"/>
        </w:rPr>
        <w:t>와 경제성장률</w:t>
      </w:r>
      <w:r>
        <w:rPr>
          <w:rFonts w:ascii="맑은 고딕" w:hAnsi="맑은 고딕" w:eastAsia="맑은 고딕" w:cs="맑은 고딕"/>
          <w:color w:val="444444"/>
          <w:sz w:val="18"/>
          <w:vertAlign w:val="superscript"/>
        </w:rPr>
        <w:t>2)</w:t>
      </w:r>
      <w:r>
        <w:rPr>
          <w:rFonts w:ascii="맑은 고딕" w:hAnsi="맑은 고딕" w:eastAsia="맑은 고딕" w:cs="맑은 고딕"/>
          <w:color w:val="444444"/>
          <w:sz w:val="18"/>
        </w:rPr>
        <w:t xml:space="preserve"> 간 관계 — 주: 1) 2015~24년 연평균 산업구조변화지수 2) 2015~24년 연평균 경제성장률. 자료: 자체 계산, 국가데이터처</w:t>
      </w:r>
    </w:p>
    <w:p>
      <w:r>
        <w:rPr>
          <w:rFonts w:ascii="맑은 고딕" w:hAnsi="맑은 고딕" w:eastAsia="맑은 고딕" w:cs="맑은 고딕"/>
          <w:color w:val="444444"/>
          <w:sz w:val="18"/>
        </w:rPr>
        <w:t>5) 산업별 부가가치 비중이 기간 내 얼마나 많이 변화했는지 측정하는 지표로, 높을수록 산업구조가 빠르게 변하고 있음을 뜻한다. 자세한 정의는 &lt;참고 3&gt;.</w:t>
      </w:r>
    </w:p>
    <w:p>
      <w:r>
        <w:rPr>
          <w:rFonts w:ascii="맑은 고딕" w:hAnsi="맑은 고딕" w:eastAsia="맑은 고딕" w:cs="맑은 고딕"/>
          <w:b/>
        </w:rPr>
        <w:t>3. 다만 고부가</w:t>
      </w:r>
      <w:r>
        <w:rPr>
          <w:rFonts w:ascii="맑은 고딕" w:hAnsi="맑은 고딕" w:eastAsia="맑은 고딕" w:cs="맑은 고딕"/>
          <w:b/>
          <w:vertAlign w:val="superscript"/>
        </w:rPr>
        <w:t>6)</w:t>
      </w:r>
      <w:r>
        <w:rPr>
          <w:rFonts w:ascii="맑은 고딕" w:hAnsi="맑은 고딕" w:eastAsia="맑은 고딕" w:cs="맑은 고딕"/>
          <w:b/>
        </w:rPr>
        <w:t>로의 산업구조 변화속도를 대상으로 하면 경제성장률과 양(+)의 관계가 관찰된다.</w:t>
      </w:r>
      <w:r>
        <w:rPr>
          <w:rFonts w:ascii="맑은 고딕" w:hAnsi="맑은 고딕" w:eastAsia="맑은 고딕" w:cs="맑은 고딕"/>
        </w:rPr>
        <w:t xml:space="preserve"> 고부가 변화속도 상위 4곳(경기·경북·충남·충북) 가운데 경북을 뺀 세 곳은 성장률이 전국 평균 이상(경기 3.93%, 충북 3.25%, 충남 2.79%)이었고, 하위 4곳(전남·강원·전북·울산)은 모두 전국 평균을 밑돌았다. 상관계수는 0.43이다. 대구는 0.0036으로 17개 시도 평균(0.0045)보다 낮다.</w:t>
      </w:r>
    </w:p>
    <w:p>
      <w:r>
        <w:rPr>
          <w:rFonts w:ascii="맑은 고딕" w:hAnsi="맑은 고딕" w:eastAsia="맑은 고딕" w:cs="맑은 고딕"/>
          <w:b/>
        </w:rPr>
        <w:t>4. 고부가산업으로의 구조 변화속도가 빠른 지역은 노동생산성 증가율도 비교적 높게 나타났다.</w:t>
      </w:r>
      <w:r>
        <w:rPr>
          <w:rFonts w:ascii="맑은 고딕" w:hAnsi="맑은 고딕" w:eastAsia="맑은 고딕" w:cs="맑은 고딕"/>
        </w:rPr>
        <w:t xml:space="preserve"> 전산업 노동생산성 증가율(2015~24년 연평균)을 보면 고부가 변화속도 상위 지역이 하위 지역을 일관되게 상회했다. 17개 시도 평균 기준 상위 1.67% 대 하위 1.29%, 상·하위 3개 1.51% 대 0.90%, 5개 1.67% 대 0.96%, 8개 1.85% 대 0.97%다(원보고서는 제조업, 여기서는 전산업 기준).</w:t>
      </w:r>
    </w:p>
    <w:p>
      <w:r>
        <w:rPr>
          <w:rFonts w:ascii="맑은 고딕" w:hAnsi="맑은 고딕" w:eastAsia="맑은 고딕" w:cs="맑은 고딕"/>
          <w:b/>
        </w:rPr>
        <w:t>5. 이 관계는 고부가가치 부문(금융업, 정보통신업, 전기·전자장비 등)의 노동생산성이 높다는 점으로 설명된다.</w:t>
      </w:r>
      <w:r>
        <w:rPr>
          <w:rFonts w:ascii="맑은 고딕" w:hAnsi="맑은 고딕" w:eastAsia="맑은 고딕" w:cs="맑은 고딕"/>
        </w:rPr>
        <w:t xml:space="preserve"> 전국 기준 고부가 3부문의 실질 부가가치는 2015~24년 연평균 5.6% 늘어 전산업 GRDP 성장률(2.47%)의 두 배를 넘었다. 다만 생산요소가 고부가 부문으로 옮겨 가 성장잠재력을 키웠다는 경로는 여기서 직접 추정하지 않았다.</w:t>
      </w:r>
    </w:p>
    <w:p>
      <w:pPr>
        <w:keepNext/>
        <w:jc w:val="center"/>
      </w:pPr>
      <w:r>
        <w:drawing>
          <wp:inline xmlns:a="http://schemas.openxmlformats.org/drawingml/2006/main" xmlns:pic="http://schemas.openxmlformats.org/drawingml/2006/picture">
            <wp:extent cx="5760000" cy="3456000"/>
            <wp:docPr id="24" name="Picture 24" descr="/figures/2026-09-30-policy-structure-daegu/fig2-21.svg" title="고부가 산업구조 변화속도와 경제성장률 산점도"/>
            <wp:cNvGraphicFramePr>
              <a:graphicFrameLocks noChangeAspect="1"/>
            </wp:cNvGraphicFramePr>
            <a:graphic>
              <a:graphicData uri="http://schemas.openxmlformats.org/drawingml/2006/picture">
                <pic:pic>
                  <pic:nvPicPr>
                    <pic:cNvPr id="0" name="fig2-21.png"/>
                    <pic:cNvPicPr/>
                  </pic:nvPicPr>
                  <pic:blipFill>
                    <a:blip r:embed="rId30"/>
                    <a:stretch>
                      <a:fillRect/>
                    </a:stretch>
                  </pic:blipFill>
                  <pic:spPr>
                    <a:xfrm>
                      <a:off x="0" y="0"/>
                      <a:ext cx="5760000" cy="3456000"/>
                    </a:xfrm>
                    <a:prstGeom prst="rect"/>
                  </pic:spPr>
                </pic:pic>
              </a:graphicData>
            </a:graphic>
          </wp:inline>
        </w:drawing>
      </w:r>
    </w:p>
    <w:p>
      <w:pPr>
        <w:pStyle w:val="Caption"/>
        <w:jc w:val="center"/>
      </w:pPr>
      <w:r>
        <w:rPr>
          <w:rFonts w:ascii="맑은 고딕" w:hAnsi="맑은 고딕" w:eastAsia="맑은 고딕" w:cs="맑은 고딕"/>
          <w:color w:val="444444"/>
          <w:sz w:val="18"/>
        </w:rPr>
        <w:t>[그림 2-21] 고부가산업으로의 구조 변화속도와 경제성장률 간 관계 — 주: 2015~24년 연평균. 자료: 자체 계산</w:t>
      </w:r>
    </w:p>
    <w:p>
      <w:pPr>
        <w:keepNext/>
        <w:jc w:val="center"/>
      </w:pPr>
      <w:r>
        <w:drawing>
          <wp:inline xmlns:a="http://schemas.openxmlformats.org/drawingml/2006/main" xmlns:pic="http://schemas.openxmlformats.org/drawingml/2006/picture">
            <wp:extent cx="5760000" cy="3024000"/>
            <wp:docPr id="25" name="Picture 25" descr="/figures/2026-09-30-policy-structure-daegu/fig2-22.svg" title="고부가 변화속도 상위·하위 지역의 노동생산성 증가율 비교 막대"/>
            <wp:cNvGraphicFramePr>
              <a:graphicFrameLocks noChangeAspect="1"/>
            </wp:cNvGraphicFramePr>
            <a:graphic>
              <a:graphicData uri="http://schemas.openxmlformats.org/drawingml/2006/picture">
                <pic:pic>
                  <pic:nvPicPr>
                    <pic:cNvPr id="0" name="fig2-22.png"/>
                    <pic:cNvPicPr/>
                  </pic:nvPicPr>
                  <pic:blipFill>
                    <a:blip r:embed="rId31"/>
                    <a:stretch>
                      <a:fillRect/>
                    </a:stretch>
                  </pic:blipFill>
                  <pic:spPr>
                    <a:xfrm>
                      <a:off x="0" y="0"/>
                      <a:ext cx="5760000" cy="3024000"/>
                    </a:xfrm>
                    <a:prstGeom prst="rect"/>
                  </pic:spPr>
                </pic:pic>
              </a:graphicData>
            </a:graphic>
          </wp:inline>
        </w:drawing>
      </w:r>
    </w:p>
    <w:p>
      <w:pPr>
        <w:pStyle w:val="Caption"/>
        <w:jc w:val="center"/>
      </w:pPr>
      <w:r>
        <w:rPr>
          <w:rFonts w:ascii="맑은 고딕" w:hAnsi="맑은 고딕" w:eastAsia="맑은 고딕" w:cs="맑은 고딕"/>
          <w:color w:val="444444"/>
          <w:sz w:val="18"/>
        </w:rPr>
        <w:t>[그림 2-22] 고부가 산업구조 변화속도와 노동생산성 성장률 간 관계</w:t>
      </w:r>
      <w:r>
        <w:rPr>
          <w:rFonts w:ascii="맑은 고딕" w:hAnsi="맑은 고딕" w:eastAsia="맑은 고딕" w:cs="맑은 고딕"/>
          <w:color w:val="444444"/>
          <w:sz w:val="18"/>
          <w:vertAlign w:val="superscript"/>
        </w:rPr>
        <w:t>1)</w:t>
      </w:r>
      <w:r>
        <w:rPr>
          <w:rFonts w:ascii="맑은 고딕" w:hAnsi="맑은 고딕" w:eastAsia="맑은 고딕" w:cs="맑은 고딕"/>
          <w:color w:val="444444"/>
          <w:sz w:val="18"/>
        </w:rPr>
        <w:t xml:space="preserve"> — 주: 1) 2015~24년 연평균 노동생산성 성장률(전산업 기준). 자료: 국가데이터처, 자체 계산</w:t>
      </w:r>
    </w:p>
    <w:p>
      <w:r>
        <w:rPr>
          <w:rFonts w:ascii="맑은 고딕" w:hAnsi="맑은 고딕" w:eastAsia="맑은 고딕" w:cs="맑은 고딕"/>
          <w:color w:val="444444"/>
          <w:sz w:val="18"/>
        </w:rPr>
        <w:t>6) 이 보고서에서는 고부가가치 산업을 전기·전자 및 정밀기기 제조업, 정보통신업, 금융 및 보험업으로 정의한다(OECD 고부가가치 업종 분류 가운데 공공서비스를 제외하고 국가데이터처 「지역소득」 분류와 대응).</w:t>
      </w:r>
    </w:p>
    <w:p>
      <w:r>
        <w:rPr>
          <w:rFonts w:ascii="맑은 고딕" w:hAnsi="맑은 고딕" w:eastAsia="맑은 고딕" w:cs="맑은 고딕"/>
          <w:b/>
        </w:rPr>
        <w:t>[ 대 구 ]</w:t>
      </w:r>
    </w:p>
    <w:p>
      <w:r>
        <w:rPr>
          <w:rFonts w:ascii="맑은 고딕" w:hAnsi="맑은 고딕" w:eastAsia="맑은 고딕" w:cs="맑은 고딕"/>
          <w:b/>
        </w:rPr>
        <w:t>6. 대구의 산업구조 변화속도는 17개 시도 평균보다 낮다.</w:t>
      </w:r>
      <w:r>
        <w:rPr>
          <w:rFonts w:ascii="맑은 고딕" w:hAnsi="맑은 고딕" w:eastAsia="맑은 고딕" w:cs="맑은 고딕"/>
        </w:rPr>
        <w:t xml:space="preserve"> 대구의 변화속도(2015~24년 연평균)는 0.0239로 17개 시도 평균(0.0294)을 밑돌며, 연도별로는 2015~2019년 0.016~0.021에서 2020년 0.034, 2022년 0.033으로 높아졌다가 2024년 0.023으로 낮아졌다. 고부가 산업구조로의 변화속도는 0.0036으로 17개 시도 평균(0.0045)의 80% 수준이다.</w:t>
      </w:r>
    </w:p>
    <w:p>
      <w:r>
        <w:rPr>
          <w:rFonts w:ascii="맑은 고딕" w:hAnsi="맑은 고딕" w:eastAsia="맑은 고딕" w:cs="맑은 고딕"/>
          <w:b/>
        </w:rPr>
        <w:t>7. 대구는 고부가 부문으로의 변화속도가 낮은 상태와 제조업 노동생산성 정체(연평균 0.11%), 인구 감소가 같은 기간에 함께 나타났고, GRDP 성장률은 전국 평균을 밑돌았다.</w:t>
      </w:r>
      <w:r>
        <w:rPr>
          <w:rFonts w:ascii="맑은 고딕" w:hAnsi="맑은 고딕" w:eastAsia="맑은 고딕" w:cs="맑은 고딕"/>
        </w:rPr>
        <w:t xml:space="preserve"> 대구의 연평균 GRDP 성장률(1.15%)과 노동생산성 증가율(1.55%)은 전국(2.47%·1.59%) 및 6개 광역시 평균(1.88%·1.62%)보다 낮고, 주민등록인구 증가율(-0.57%, 248만 8천 명→236만 4천 명)도 전국(-0.07%)·6개 광역시 평균(-0.47%)보다 낮다.</w:t>
      </w:r>
    </w:p>
    <w:p>
      <w:pPr>
        <w:keepNext/>
        <w:jc w:val="center"/>
      </w:pPr>
      <w:r>
        <w:drawing>
          <wp:inline xmlns:a="http://schemas.openxmlformats.org/drawingml/2006/main" xmlns:pic="http://schemas.openxmlformats.org/drawingml/2006/picture">
            <wp:extent cx="5760000" cy="2880000"/>
            <wp:docPr id="26" name="Picture 26" descr="/figures/2026-09-30-policy-structure-daegu/fig2-23.svg" title="대구와 전국의 산업구조 변화속도 추이 2015~2024 선 그래프"/>
            <wp:cNvGraphicFramePr>
              <a:graphicFrameLocks noChangeAspect="1"/>
            </wp:cNvGraphicFramePr>
            <a:graphic>
              <a:graphicData uri="http://schemas.openxmlformats.org/drawingml/2006/picture">
                <pic:pic>
                  <pic:nvPicPr>
                    <pic:cNvPr id="0" name="fig2-23.png"/>
                    <pic:cNvPicPr/>
                  </pic:nvPicPr>
                  <pic:blipFill>
                    <a:blip r:embed="rId32"/>
                    <a:stretch>
                      <a:fillRect/>
                    </a:stretch>
                  </pic:blipFill>
                  <pic:spPr>
                    <a:xfrm>
                      <a:off x="0" y="0"/>
                      <a:ext cx="5760000" cy="2880000"/>
                    </a:xfrm>
                    <a:prstGeom prst="rect"/>
                  </pic:spPr>
                </pic:pic>
              </a:graphicData>
            </a:graphic>
          </wp:inline>
        </w:drawing>
      </w:r>
    </w:p>
    <w:p>
      <w:pPr>
        <w:pStyle w:val="Caption"/>
        <w:jc w:val="center"/>
      </w:pPr>
      <w:r>
        <w:rPr>
          <w:rFonts w:ascii="맑은 고딕" w:hAnsi="맑은 고딕" w:eastAsia="맑은 고딕" w:cs="맑은 고딕"/>
          <w:color w:val="444444"/>
          <w:sz w:val="18"/>
        </w:rPr>
        <w:t>[그림 2-23] 대구 및 전국의 산업구조 변화속도 — 자료: 자체 계산(평균 전국 0.0212, 대구 0.0239)</w:t>
      </w:r>
    </w:p>
    <w:p>
      <w:pPr>
        <w:keepNext/>
        <w:jc w:val="center"/>
      </w:pPr>
      <w:r>
        <w:drawing>
          <wp:inline xmlns:a="http://schemas.openxmlformats.org/drawingml/2006/main" xmlns:pic="http://schemas.openxmlformats.org/drawingml/2006/picture">
            <wp:extent cx="5760000" cy="3024000"/>
            <wp:docPr id="27" name="Picture 27" descr="/figures/2026-09-30-policy-structure-daegu/fig2-24.svg" title="대구·전국·6개 광역시의 GRDP·노동생산성·인구 증가율 비교 막대"/>
            <wp:cNvGraphicFramePr>
              <a:graphicFrameLocks noChangeAspect="1"/>
            </wp:cNvGraphicFramePr>
            <a:graphic>
              <a:graphicData uri="http://schemas.openxmlformats.org/drawingml/2006/picture">
                <pic:pic>
                  <pic:nvPicPr>
                    <pic:cNvPr id="0" name="fig2-24.png"/>
                    <pic:cNvPicPr/>
                  </pic:nvPicPr>
                  <pic:blipFill>
                    <a:blip r:embed="rId33"/>
                    <a:stretch>
                      <a:fillRect/>
                    </a:stretch>
                  </pic:blipFill>
                  <pic:spPr>
                    <a:xfrm>
                      <a:off x="0" y="0"/>
                      <a:ext cx="5760000" cy="3024000"/>
                    </a:xfrm>
                    <a:prstGeom prst="rect"/>
                  </pic:spPr>
                </pic:pic>
              </a:graphicData>
            </a:graphic>
          </wp:inline>
        </w:drawing>
      </w:r>
    </w:p>
    <w:p>
      <w:pPr>
        <w:pStyle w:val="Caption"/>
        <w:jc w:val="center"/>
      </w:pPr>
      <w:r>
        <w:rPr>
          <w:rFonts w:ascii="맑은 고딕" w:hAnsi="맑은 고딕" w:eastAsia="맑은 고딕" w:cs="맑은 고딕"/>
          <w:color w:val="444444"/>
          <w:sz w:val="18"/>
        </w:rPr>
        <w:t>[그림 2-24] 지역별 경제지표(GRDP·노동생산성·인구) 격차 — 주: 2015~24년 연평균 증가율, 노동생산성은 전산업, 인구는 주민등록인구. 자료: 국가데이터처, 자체 계산</w:t>
      </w:r>
    </w:p>
    <w:p>
      <w:r>
        <w:rPr>
          <w:rFonts w:ascii="맑은 고딕" w:hAnsi="맑은 고딕" w:eastAsia="맑은 고딕" w:cs="맑은 고딕"/>
          <w:b/>
        </w:rPr>
        <w:t>8. 요컨대 과거 주력산업에 고착된 지역은 저성장한 반면, 산업집중도가 오르거나 고부가 산업으로 재편되는 지역은 비교적 양호하게 성장했다.</w:t>
      </w:r>
      <w:r>
        <w:rPr>
          <w:rFonts w:ascii="맑은 고딕" w:hAnsi="맑은 고딕" w:eastAsia="맑은 고딕" w:cs="맑은 고딕"/>
        </w:rPr>
        <w:t xml:space="preserve"> 대구는 산업집중도가 낮고 하락 중이며, 특화산업이 금융·보험을 빼면 고부가 부문과 겹치지 않고, 고부가 부문으로의 변화속도도 평균보다 낮다. Ⅲ장에서는 패널회귀모형으로 이 세 특성이 GRDP 와 노동생산성에 미친 영향을 추정한다.</w:t>
      </w:r>
    </w:p>
    <w:p>
      <w:pPr>
        <w:pStyle w:val="Heading2"/>
      </w:pPr>
      <w:r>
        <w:rPr>
          <w:rFonts w:ascii="맑은 고딕" w:hAnsi="맑은 고딕" w:eastAsia="맑은 고딕" w:cs="맑은 고딕"/>
        </w:rPr>
        <w:t>참고 1. 입지계수(LQ index, Location Quotient Index)</w:t>
      </w:r>
    </w:p>
    <w:p>
      <w:r>
        <w:rPr>
          <w:rFonts w:ascii="맑은 고딕" w:hAnsi="맑은 고딕" w:eastAsia="맑은 고딕" w:cs="맑은 고딕"/>
        </w:rPr>
        <w:t>입지계수는 특정 지역에서 각 산업이 전국 대비 상대적으로 얼마나 특화됐는지 측정하는 지표로, LQ(i, a, t) = (e(i,a,t) / Σ e(i,a,t)) ÷ (E(i,t) / Σ E(i,t)) 로 정의된다. e 는 t 시점 a 지역 i 산업의 규모, E 는 전국 i 산업의 규모이며 규모는 부가가치·종사자수 등으로 잰다. 1보다 크면 전국 대비 그 산업이 더 특화되어 있고, 1보다 작으면 특화 정도가 낮다. 여기서는 지역소득 24개 부문의 명목 총부가가치(부가가치 기준)와 전국사업체조사 종사자수(종사자 기준)를 썼다.</w:t>
      </w:r>
    </w:p>
    <w:p>
      <w:pPr>
        <w:pStyle w:val="Heading2"/>
      </w:pPr>
      <w:r>
        <w:rPr>
          <w:rFonts w:ascii="맑은 고딕" w:hAnsi="맑은 고딕" w:eastAsia="맑은 고딕" w:cs="맑은 고딕"/>
        </w:rPr>
        <w:t>참고 2. 산업집중도(HHI, Hirschman-Herfindahl Index)</w:t>
      </w:r>
    </w:p>
    <w:p>
      <w:r>
        <w:rPr>
          <w:rFonts w:ascii="맑은 고딕" w:hAnsi="맑은 고딕" w:eastAsia="맑은 고딕" w:cs="맑은 고딕"/>
        </w:rPr>
        <w:t>산업집중도는 한 경제 내에서 얼마나 소수의 산업에 집중되어 있는지 측정하는 지표로, HHI(t) = Σ s(i,t)² 로 정의된다. s 는 t 시점 i 산업의 부가가치 비중(%)이다. 한 산업에 완전 집중되면 최대값 10,000, 모든 산업이 균등하면 10,000/(전체 산업 개수)가 최소값이다(24개 부문이면 417). 여기서는 24개 부문 기준이다.</w:t>
      </w:r>
    </w:p>
    <w:p>
      <w:pPr>
        <w:pStyle w:val="Heading2"/>
      </w:pPr>
      <w:r>
        <w:rPr>
          <w:rFonts w:ascii="맑은 고딕" w:hAnsi="맑은 고딕" w:eastAsia="맑은 고딕" w:cs="맑은 고딕"/>
        </w:rPr>
        <w:t>참고 3. 산업구조 변화속도(SCI, Structural Change Index)</w:t>
      </w:r>
    </w:p>
    <w:p>
      <w:r>
        <w:rPr>
          <w:rFonts w:ascii="맑은 고딕" w:hAnsi="맑은 고딕" w:eastAsia="맑은 고딕" w:cs="맑은 고딕"/>
        </w:rPr>
        <w:t>산업구조 변화속도는 주어진 기간 내에 각 산업별 생산 비중이 얼마나 변화했는지 측정하는 지표로, SCI(t1, t2) = ½ Σ |s(i,t2) − s(i,t1)| 로 정의된다(s 는 부가가치 비중, 0~1). 여기서는 전산업 기준 지수와 고부가산업(전기·전자 및 정밀기기 제조업, 정보통신업, 금융 및 보험업) 기준 지수를 각각 산출했고, '연평균'은 2015~2024년 연도별 값(전년 대비)의 평균이다.</w:t>
      </w:r>
    </w:p>
    <w:p>
      <w:pPr>
        <w:pStyle w:val="Heading1"/>
      </w:pPr>
      <w:r>
        <w:rPr>
          <w:rFonts w:ascii="맑은 고딕" w:hAnsi="맑은 고딕" w:eastAsia="맑은 고딕" w:cs="맑은 고딕"/>
        </w:rPr>
        <w:t>Ⅲ. 지역 산업구조 특성이 경제성장에 미치는 영향</w:t>
      </w:r>
      <w:r>
        <w:rPr>
          <w:rFonts w:ascii="맑은 고딕" w:hAnsi="맑은 고딕" w:eastAsia="맑은 고딕" w:cs="맑은 고딕"/>
          <w:vertAlign w:val="superscript"/>
        </w:rPr>
        <w:t>7)</w:t>
      </w:r>
    </w:p>
    <w:p>
      <w:r>
        <w:rPr>
          <w:rFonts w:ascii="맑은 고딕" w:hAnsi="맑은 고딕" w:eastAsia="맑은 고딕" w:cs="맑은 고딕"/>
          <w:b/>
        </w:rPr>
        <w:t>1. 산업집중도의 확대는 지역 경제성장에 양(+)의 영향을 미치는 것으로 추정됐다.</w:t>
      </w:r>
      <w:r>
        <w:rPr>
          <w:rFonts w:ascii="맑은 고딕" w:hAnsi="맑은 고딕" w:eastAsia="맑은 고딕" w:cs="맑은 고딕"/>
        </w:rPr>
        <w:t xml:space="preserve"> 산업집중도가 1% 상승할 때 실질 GRDP 와 노동생산성 증가율은 각각 0.20%p, 0.21%p 높아지는 것으로 나타났다(1% 유의수준). 특화산업 비중(전기)의 계수는 GRDP·노동생산성 모두 0에 가깝고 유의하지 않았다.</w:t>
      </w:r>
    </w:p>
    <w:p>
      <w:r>
        <w:rPr>
          <w:rFonts w:ascii="맑은 고딕" w:hAnsi="맑은 고딕" w:eastAsia="맑은 고딕" w:cs="맑은 고딕"/>
          <w:b/>
        </w:rPr>
        <w:t>2. 산업구조 변화속도의 계수는 GRDP·노동생산성 모두 양(+)이었으나 통계적으로 유의하지 않았다.</w:t>
      </w:r>
      <w:r>
        <w:rPr>
          <w:rFonts w:ascii="맑은 고딕" w:hAnsi="맑은 고딕" w:eastAsia="맑은 고딕" w:cs="맑은 고딕"/>
        </w:rPr>
        <w:t xml:space="preserve"> 원보고서(분기 자료)는 변화속도 상승이 단기적으로 성장과 생산성을 낮추는 것으로 추정했으나, 연간 자료와 연도 고정효과를 쓴 이 추정에서는 유의한 관계가 나타나지 않았다. 자료 주기(연간 대 분기)와 통제변수(전력사용량·대졸자수 미포함)의 차이가 원인일 수 있어 해석은 보류한다.</w:t>
      </w:r>
    </w:p>
    <w:p>
      <w:r>
        <w:rPr>
          <w:rFonts w:ascii="맑은 고딕" w:hAnsi="맑은 고딕" w:eastAsia="맑은 고딕" w:cs="맑은 고딕"/>
          <w:b/>
        </w:rPr>
        <w:t>[표 3-1] 지역 산업구조가 GRDP 성장률에 미친 영향</w:t>
      </w:r>
      <w:r>
        <w:rPr>
          <w:rFonts w:ascii="맑은 고딕" w:hAnsi="맑은 고딕" w:eastAsia="맑은 고딕" w:cs="맑은 고딕"/>
          <w:b/>
          <w:vertAlign w:val="superscript"/>
        </w:rPr>
        <w:t>1)2)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E8ECF2"/>
          </w:tcPr>
          <w:p>
            <w:pPr>
              <w:spacing w:after="0" w:line="276" w:lineRule="auto"/>
              <w:jc w:val="center"/>
            </w:pPr>
            <w:r>
              <w:rPr>
                <w:rFonts w:ascii="맑은 고딕" w:hAnsi="맑은 고딕" w:eastAsia="맑은 고딕" w:cs="맑은 고딕"/>
                <w:b/>
                <w:sz w:val="18"/>
              </w:rPr>
              <w:t>종속변수: Δln(지역내총생산)</w:t>
            </w:r>
          </w:p>
        </w:tc>
        <w:tc>
          <w:tcPr>
            <w:tcW w:type="dxa" w:w="2353"/>
            <w:shd w:val="clear" w:color="auto" w:fill="E8ECF2"/>
          </w:tcPr>
          <w:p>
            <w:pPr>
              <w:spacing w:after="0" w:line="276" w:lineRule="auto"/>
              <w:jc w:val="right"/>
            </w:pPr>
            <w:r>
              <w:rPr>
                <w:rFonts w:ascii="맑은 고딕" w:hAnsi="맑은 고딕" w:eastAsia="맑은 고딕" w:cs="맑은 고딕"/>
                <w:b/>
                <w:sz w:val="18"/>
              </w:rPr>
              <w:t>(1)</w:t>
            </w:r>
          </w:p>
        </w:tc>
        <w:tc>
          <w:tcPr>
            <w:tcW w:type="dxa" w:w="2353"/>
            <w:shd w:val="clear" w:color="auto" w:fill="E8ECF2"/>
          </w:tcPr>
          <w:p>
            <w:pPr>
              <w:spacing w:after="0" w:line="276" w:lineRule="auto"/>
              <w:jc w:val="right"/>
            </w:pPr>
            <w:r>
              <w:rPr>
                <w:rFonts w:ascii="맑은 고딕" w:hAnsi="맑은 고딕" w:eastAsia="맑은 고딕" w:cs="맑은 고딕"/>
                <w:b/>
                <w:sz w:val="18"/>
              </w:rPr>
              <w:t>(2)</w:t>
            </w:r>
          </w:p>
        </w:tc>
        <w:tc>
          <w:tcPr>
            <w:tcW w:type="dxa" w:w="2353"/>
            <w:shd w:val="clear" w:color="auto" w:fill="E8ECF2"/>
          </w:tcPr>
          <w:p>
            <w:pPr>
              <w:spacing w:after="0" w:line="276" w:lineRule="auto"/>
              <w:jc w:val="right"/>
            </w:pPr>
            <w:r>
              <w:rPr>
                <w:rFonts w:ascii="맑은 고딕" w:hAnsi="맑은 고딕" w:eastAsia="맑은 고딕" w:cs="맑은 고딕"/>
                <w:b/>
                <w:sz w:val="18"/>
              </w:rPr>
              <w:t>(3)</w:t>
            </w:r>
          </w:p>
        </w:tc>
      </w:tr>
      <w:tr>
        <w:tc>
          <w:tcPr>
            <w:tcW w:type="dxa" w:w="2353"/>
          </w:tcPr>
          <w:p>
            <w:pPr>
              <w:spacing w:after="0" w:line="276" w:lineRule="auto"/>
            </w:pPr>
            <w:r>
              <w:rPr>
                <w:rFonts w:ascii="맑은 고딕" w:hAnsi="맑은 고딕" w:eastAsia="맑은 고딕" w:cs="맑은 고딕"/>
                <w:sz w:val="18"/>
              </w:rPr>
              <w:t>특화산업 비중</w:t>
            </w:r>
            <w:r>
              <w:rPr>
                <w:rFonts w:ascii="맑은 고딕" w:hAnsi="맑은 고딕" w:eastAsia="맑은 고딕" w:cs="맑은 고딕"/>
                <w:sz w:val="18"/>
                <w:vertAlign w:val="superscript"/>
              </w:rPr>
              <w:t>3)</w:t>
            </w:r>
            <w:r>
              <w:rPr>
                <w:rFonts w:ascii="맑은 고딕" w:hAnsi="맑은 고딕" w:eastAsia="맑은 고딕" w:cs="맑은 고딕"/>
                <w:sz w:val="18"/>
              </w:rPr>
              <w:t>(t-1)</w:t>
            </w:r>
          </w:p>
        </w:tc>
        <w:tc>
          <w:tcPr>
            <w:tcW w:type="dxa" w:w="2353"/>
          </w:tcPr>
          <w:p>
            <w:pPr>
              <w:spacing w:after="0" w:line="276" w:lineRule="auto"/>
              <w:jc w:val="right"/>
            </w:pPr>
            <w:r>
              <w:rPr>
                <w:rFonts w:ascii="맑은 고딕" w:hAnsi="맑은 고딕" w:eastAsia="맑은 고딕" w:cs="맑은 고딕"/>
                <w:sz w:val="18"/>
              </w:rPr>
              <w:t>-0.0001 (0.0006)</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w:t>
            </w:r>
          </w:p>
        </w:tc>
      </w:tr>
      <w:tr>
        <w:tc>
          <w:tcPr>
            <w:tcW w:type="dxa" w:w="2353"/>
          </w:tcPr>
          <w:p>
            <w:pPr>
              <w:spacing w:after="0" w:line="276" w:lineRule="auto"/>
            </w:pPr>
            <w:r>
              <w:rPr>
                <w:rFonts w:ascii="맑은 고딕" w:hAnsi="맑은 고딕" w:eastAsia="맑은 고딕" w:cs="맑은 고딕"/>
                <w:sz w:val="18"/>
              </w:rPr>
              <w:t>Δln(산업집중도)</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0.204*** (0.037)</w:t>
            </w:r>
          </w:p>
        </w:tc>
        <w:tc>
          <w:tcPr>
            <w:tcW w:type="dxa" w:w="2353"/>
          </w:tcPr>
          <w:p>
            <w:pPr>
              <w:spacing w:after="0" w:line="276" w:lineRule="auto"/>
              <w:jc w:val="right"/>
            </w:pPr>
            <w:r>
              <w:rPr>
                <w:rFonts w:ascii="맑은 고딕" w:hAnsi="맑은 고딕" w:eastAsia="맑은 고딕" w:cs="맑은 고딕"/>
                <w:sz w:val="18"/>
              </w:rPr>
              <w:t>-</w:t>
            </w:r>
          </w:p>
        </w:tc>
      </w:tr>
      <w:tr>
        <w:tc>
          <w:tcPr>
            <w:tcW w:type="dxa" w:w="2353"/>
          </w:tcPr>
          <w:p>
            <w:pPr>
              <w:spacing w:after="0" w:line="276" w:lineRule="auto"/>
            </w:pPr>
            <w:r>
              <w:rPr>
                <w:rFonts w:ascii="맑은 고딕" w:hAnsi="맑은 고딕" w:eastAsia="맑은 고딕" w:cs="맑은 고딕"/>
                <w:sz w:val="18"/>
              </w:rPr>
              <w:t>산업구조변화속도</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0.300 (0.200)</w:t>
            </w:r>
          </w:p>
        </w:tc>
      </w:tr>
      <w:tr>
        <w:tc>
          <w:tcPr>
            <w:tcW w:type="dxa" w:w="2353"/>
          </w:tcPr>
          <w:p>
            <w:pPr>
              <w:spacing w:after="0" w:line="276" w:lineRule="auto"/>
            </w:pPr>
            <w:r>
              <w:rPr>
                <w:rFonts w:ascii="맑은 고딕" w:hAnsi="맑은 고딕" w:eastAsia="맑은 고딕" w:cs="맑은 고딕"/>
                <w:sz w:val="18"/>
              </w:rPr>
              <w:t>통제변수</w:t>
            </w:r>
            <w:r>
              <w:rPr>
                <w:rFonts w:ascii="맑은 고딕" w:hAnsi="맑은 고딕" w:eastAsia="맑은 고딕" w:cs="맑은 고딕"/>
                <w:sz w:val="18"/>
                <w:vertAlign w:val="superscript"/>
              </w:rPr>
              <w:t>4)</w:t>
            </w:r>
            <w:r>
              <w:rPr>
                <w:rFonts w:ascii="맑은 고딕" w:hAnsi="맑은 고딕" w:eastAsia="맑은 고딕" w:cs="맑은 고딕"/>
                <w:sz w:val="18"/>
              </w:rPr>
              <w:t xml:space="preserve"> / 지역효과 / 시간효과</w:t>
            </w:r>
          </w:p>
        </w:tc>
        <w:tc>
          <w:tcPr>
            <w:tcW w:type="dxa" w:w="2353"/>
          </w:tcPr>
          <w:p>
            <w:pPr>
              <w:spacing w:after="0" w:line="276" w:lineRule="auto"/>
              <w:jc w:val="right"/>
            </w:pPr>
            <w:r>
              <w:rPr>
                <w:rFonts w:ascii="맑은 고딕" w:hAnsi="맑은 고딕" w:eastAsia="맑은 고딕" w:cs="맑은 고딕"/>
                <w:sz w:val="18"/>
              </w:rPr>
              <w:t>YES / YES / YES</w:t>
            </w:r>
          </w:p>
        </w:tc>
        <w:tc>
          <w:tcPr>
            <w:tcW w:type="dxa" w:w="2353"/>
          </w:tcPr>
          <w:p>
            <w:pPr>
              <w:spacing w:after="0" w:line="276" w:lineRule="auto"/>
              <w:jc w:val="right"/>
            </w:pPr>
            <w:r>
              <w:rPr>
                <w:rFonts w:ascii="맑은 고딕" w:hAnsi="맑은 고딕" w:eastAsia="맑은 고딕" w:cs="맑은 고딕"/>
                <w:sz w:val="18"/>
              </w:rPr>
              <w:t>YES / YES / YES</w:t>
            </w:r>
          </w:p>
        </w:tc>
        <w:tc>
          <w:tcPr>
            <w:tcW w:type="dxa" w:w="2353"/>
          </w:tcPr>
          <w:p>
            <w:pPr>
              <w:spacing w:after="0" w:line="276" w:lineRule="auto"/>
              <w:jc w:val="right"/>
            </w:pPr>
            <w:r>
              <w:rPr>
                <w:rFonts w:ascii="맑은 고딕" w:hAnsi="맑은 고딕" w:eastAsia="맑은 고딕" w:cs="맑은 고딕"/>
                <w:sz w:val="18"/>
              </w:rPr>
              <w:t>YES / YES / YES</w:t>
            </w:r>
          </w:p>
        </w:tc>
      </w:tr>
      <w:tr>
        <w:tc>
          <w:tcPr>
            <w:tcW w:type="dxa" w:w="2353"/>
          </w:tcPr>
          <w:p>
            <w:pPr>
              <w:spacing w:after="0" w:line="276" w:lineRule="auto"/>
            </w:pPr>
            <w:r>
              <w:rPr>
                <w:rFonts w:ascii="맑은 고딕" w:hAnsi="맑은 고딕" w:eastAsia="맑은 고딕" w:cs="맑은 고딕"/>
                <w:sz w:val="18"/>
              </w:rPr>
              <w:t>결정계수(R²)</w:t>
            </w:r>
          </w:p>
        </w:tc>
        <w:tc>
          <w:tcPr>
            <w:tcW w:type="dxa" w:w="2353"/>
          </w:tcPr>
          <w:p>
            <w:pPr>
              <w:spacing w:after="0" w:line="276" w:lineRule="auto"/>
              <w:jc w:val="right"/>
            </w:pPr>
            <w:r>
              <w:rPr>
                <w:rFonts w:ascii="맑은 고딕" w:hAnsi="맑은 고딕" w:eastAsia="맑은 고딕" w:cs="맑은 고딕"/>
                <w:sz w:val="18"/>
              </w:rPr>
              <w:t>0.49</w:t>
            </w:r>
          </w:p>
        </w:tc>
        <w:tc>
          <w:tcPr>
            <w:tcW w:type="dxa" w:w="2353"/>
          </w:tcPr>
          <w:p>
            <w:pPr>
              <w:spacing w:after="0" w:line="276" w:lineRule="auto"/>
              <w:jc w:val="right"/>
            </w:pPr>
            <w:r>
              <w:rPr>
                <w:rFonts w:ascii="맑은 고딕" w:hAnsi="맑은 고딕" w:eastAsia="맑은 고딕" w:cs="맑은 고딕"/>
                <w:sz w:val="18"/>
              </w:rPr>
              <w:t>0.59</w:t>
            </w:r>
          </w:p>
        </w:tc>
        <w:tc>
          <w:tcPr>
            <w:tcW w:type="dxa" w:w="2353"/>
          </w:tcPr>
          <w:p>
            <w:pPr>
              <w:spacing w:after="0" w:line="276" w:lineRule="auto"/>
              <w:jc w:val="right"/>
            </w:pPr>
            <w:r>
              <w:rPr>
                <w:rFonts w:ascii="맑은 고딕" w:hAnsi="맑은 고딕" w:eastAsia="맑은 고딕" w:cs="맑은 고딕"/>
                <w:sz w:val="18"/>
              </w:rPr>
              <w:t>0.50</w:t>
            </w:r>
          </w:p>
        </w:tc>
      </w:tr>
      <w:tr>
        <w:tc>
          <w:tcPr>
            <w:tcW w:type="dxa" w:w="2353"/>
          </w:tcPr>
          <w:p>
            <w:pPr>
              <w:spacing w:after="0" w:line="276" w:lineRule="auto"/>
            </w:pPr>
            <w:r>
              <w:rPr>
                <w:rFonts w:ascii="맑은 고딕" w:hAnsi="맑은 고딕" w:eastAsia="맑은 고딕" w:cs="맑은 고딕"/>
                <w:sz w:val="18"/>
              </w:rPr>
              <w:t>관측치 수</w:t>
            </w:r>
          </w:p>
        </w:tc>
        <w:tc>
          <w:tcPr>
            <w:tcW w:type="dxa" w:w="2353"/>
          </w:tcPr>
          <w:p>
            <w:pPr>
              <w:spacing w:after="0" w:line="276" w:lineRule="auto"/>
              <w:jc w:val="right"/>
            </w:pPr>
            <w:r>
              <w:rPr>
                <w:rFonts w:ascii="맑은 고딕" w:hAnsi="맑은 고딕" w:eastAsia="맑은 고딕" w:cs="맑은 고딕"/>
                <w:sz w:val="18"/>
              </w:rPr>
              <w:t>151</w:t>
            </w:r>
          </w:p>
        </w:tc>
        <w:tc>
          <w:tcPr>
            <w:tcW w:type="dxa" w:w="2353"/>
          </w:tcPr>
          <w:p>
            <w:pPr>
              <w:spacing w:after="0" w:line="276" w:lineRule="auto"/>
              <w:jc w:val="right"/>
            </w:pPr>
            <w:r>
              <w:rPr>
                <w:rFonts w:ascii="맑은 고딕" w:hAnsi="맑은 고딕" w:eastAsia="맑은 고딕" w:cs="맑은 고딕"/>
                <w:sz w:val="18"/>
              </w:rPr>
              <w:t>151</w:t>
            </w:r>
          </w:p>
        </w:tc>
        <w:tc>
          <w:tcPr>
            <w:tcW w:type="dxa" w:w="2353"/>
          </w:tcPr>
          <w:p>
            <w:pPr>
              <w:spacing w:after="0" w:line="276" w:lineRule="auto"/>
              <w:jc w:val="right"/>
            </w:pPr>
            <w:r>
              <w:rPr>
                <w:rFonts w:ascii="맑은 고딕" w:hAnsi="맑은 고딕" w:eastAsia="맑은 고딕" w:cs="맑은 고딕"/>
                <w:sz w:val="18"/>
              </w:rPr>
              <w:t>151</w:t>
            </w:r>
          </w:p>
        </w:tc>
      </w:tr>
    </w:tbl>
    <w:p/>
    <w:p>
      <w:r>
        <w:rPr>
          <w:rFonts w:ascii="맑은 고딕" w:hAnsi="맑은 고딕" w:eastAsia="맑은 고딕" w:cs="맑은 고딕"/>
          <w:b/>
        </w:rPr>
        <w:t>[표 3-2] 지역 산업구조가 노동생산성 성장률에 미친 영향</w:t>
      </w:r>
      <w:r>
        <w:rPr>
          <w:rFonts w:ascii="맑은 고딕" w:hAnsi="맑은 고딕" w:eastAsia="맑은 고딕" w:cs="맑은 고딕"/>
          <w:b/>
          <w:vertAlign w:val="superscript"/>
        </w:rPr>
        <w:t>1)2)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E8ECF2"/>
          </w:tcPr>
          <w:p>
            <w:pPr>
              <w:spacing w:after="0" w:line="276" w:lineRule="auto"/>
              <w:jc w:val="center"/>
            </w:pPr>
            <w:r>
              <w:rPr>
                <w:rFonts w:ascii="맑은 고딕" w:hAnsi="맑은 고딕" w:eastAsia="맑은 고딕" w:cs="맑은 고딕"/>
                <w:b/>
                <w:sz w:val="18"/>
              </w:rPr>
              <w:t>종속변수: Δln(노동생산성)</w:t>
            </w:r>
          </w:p>
        </w:tc>
        <w:tc>
          <w:tcPr>
            <w:tcW w:type="dxa" w:w="2353"/>
            <w:shd w:val="clear" w:color="auto" w:fill="E8ECF2"/>
          </w:tcPr>
          <w:p>
            <w:pPr>
              <w:spacing w:after="0" w:line="276" w:lineRule="auto"/>
              <w:jc w:val="right"/>
            </w:pPr>
            <w:r>
              <w:rPr>
                <w:rFonts w:ascii="맑은 고딕" w:hAnsi="맑은 고딕" w:eastAsia="맑은 고딕" w:cs="맑은 고딕"/>
                <w:b/>
                <w:sz w:val="18"/>
              </w:rPr>
              <w:t>(1)</w:t>
            </w:r>
          </w:p>
        </w:tc>
        <w:tc>
          <w:tcPr>
            <w:tcW w:type="dxa" w:w="2353"/>
            <w:shd w:val="clear" w:color="auto" w:fill="E8ECF2"/>
          </w:tcPr>
          <w:p>
            <w:pPr>
              <w:spacing w:after="0" w:line="276" w:lineRule="auto"/>
              <w:jc w:val="right"/>
            </w:pPr>
            <w:r>
              <w:rPr>
                <w:rFonts w:ascii="맑은 고딕" w:hAnsi="맑은 고딕" w:eastAsia="맑은 고딕" w:cs="맑은 고딕"/>
                <w:b/>
                <w:sz w:val="18"/>
              </w:rPr>
              <w:t>(2)</w:t>
            </w:r>
          </w:p>
        </w:tc>
        <w:tc>
          <w:tcPr>
            <w:tcW w:type="dxa" w:w="2353"/>
            <w:shd w:val="clear" w:color="auto" w:fill="E8ECF2"/>
          </w:tcPr>
          <w:p>
            <w:pPr>
              <w:spacing w:after="0" w:line="276" w:lineRule="auto"/>
              <w:jc w:val="right"/>
            </w:pPr>
            <w:r>
              <w:rPr>
                <w:rFonts w:ascii="맑은 고딕" w:hAnsi="맑은 고딕" w:eastAsia="맑은 고딕" w:cs="맑은 고딕"/>
                <w:b/>
                <w:sz w:val="18"/>
              </w:rPr>
              <w:t>(3)</w:t>
            </w:r>
          </w:p>
        </w:tc>
      </w:tr>
      <w:tr>
        <w:tc>
          <w:tcPr>
            <w:tcW w:type="dxa" w:w="2353"/>
          </w:tcPr>
          <w:p>
            <w:pPr>
              <w:spacing w:after="0" w:line="276" w:lineRule="auto"/>
            </w:pPr>
            <w:r>
              <w:rPr>
                <w:rFonts w:ascii="맑은 고딕" w:hAnsi="맑은 고딕" w:eastAsia="맑은 고딕" w:cs="맑은 고딕"/>
                <w:sz w:val="18"/>
              </w:rPr>
              <w:t>특화산업 비중</w:t>
            </w:r>
            <w:r>
              <w:rPr>
                <w:rFonts w:ascii="맑은 고딕" w:hAnsi="맑은 고딕" w:eastAsia="맑은 고딕" w:cs="맑은 고딕"/>
                <w:sz w:val="18"/>
                <w:vertAlign w:val="superscript"/>
              </w:rPr>
              <w:t>3)</w:t>
            </w:r>
            <w:r>
              <w:rPr>
                <w:rFonts w:ascii="맑은 고딕" w:hAnsi="맑은 고딕" w:eastAsia="맑은 고딕" w:cs="맑은 고딕"/>
                <w:sz w:val="18"/>
              </w:rPr>
              <w:t>(t-1)</w:t>
            </w:r>
          </w:p>
        </w:tc>
        <w:tc>
          <w:tcPr>
            <w:tcW w:type="dxa" w:w="2353"/>
          </w:tcPr>
          <w:p>
            <w:pPr>
              <w:spacing w:after="0" w:line="276" w:lineRule="auto"/>
              <w:jc w:val="right"/>
            </w:pPr>
            <w:r>
              <w:rPr>
                <w:rFonts w:ascii="맑은 고딕" w:hAnsi="맑은 고딕" w:eastAsia="맑은 고딕" w:cs="맑은 고딕"/>
                <w:sz w:val="18"/>
              </w:rPr>
              <w:t>-0.0000 (0.0006)</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w:t>
            </w:r>
          </w:p>
        </w:tc>
      </w:tr>
      <w:tr>
        <w:tc>
          <w:tcPr>
            <w:tcW w:type="dxa" w:w="2353"/>
          </w:tcPr>
          <w:p>
            <w:pPr>
              <w:spacing w:after="0" w:line="276" w:lineRule="auto"/>
            </w:pPr>
            <w:r>
              <w:rPr>
                <w:rFonts w:ascii="맑은 고딕" w:hAnsi="맑은 고딕" w:eastAsia="맑은 고딕" w:cs="맑은 고딕"/>
                <w:sz w:val="18"/>
              </w:rPr>
              <w:t>Δln(산업집중도)</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0.210*** (0.037)</w:t>
            </w:r>
          </w:p>
        </w:tc>
        <w:tc>
          <w:tcPr>
            <w:tcW w:type="dxa" w:w="2353"/>
          </w:tcPr>
          <w:p>
            <w:pPr>
              <w:spacing w:after="0" w:line="276" w:lineRule="auto"/>
              <w:jc w:val="right"/>
            </w:pPr>
            <w:r>
              <w:rPr>
                <w:rFonts w:ascii="맑은 고딕" w:hAnsi="맑은 고딕" w:eastAsia="맑은 고딕" w:cs="맑은 고딕"/>
                <w:sz w:val="18"/>
              </w:rPr>
              <w:t>-</w:t>
            </w:r>
          </w:p>
        </w:tc>
      </w:tr>
      <w:tr>
        <w:tc>
          <w:tcPr>
            <w:tcW w:type="dxa" w:w="2353"/>
          </w:tcPr>
          <w:p>
            <w:pPr>
              <w:spacing w:after="0" w:line="276" w:lineRule="auto"/>
            </w:pPr>
            <w:r>
              <w:rPr>
                <w:rFonts w:ascii="맑은 고딕" w:hAnsi="맑은 고딕" w:eastAsia="맑은 고딕" w:cs="맑은 고딕"/>
                <w:sz w:val="18"/>
              </w:rPr>
              <w:t>산업구조변화속도</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0.331 (0.204)</w:t>
            </w:r>
          </w:p>
        </w:tc>
      </w:tr>
      <w:tr>
        <w:tc>
          <w:tcPr>
            <w:tcW w:type="dxa" w:w="2353"/>
          </w:tcPr>
          <w:p>
            <w:pPr>
              <w:spacing w:after="0" w:line="276" w:lineRule="auto"/>
            </w:pPr>
            <w:r>
              <w:rPr>
                <w:rFonts w:ascii="맑은 고딕" w:hAnsi="맑은 고딕" w:eastAsia="맑은 고딕" w:cs="맑은 고딕"/>
                <w:sz w:val="18"/>
              </w:rPr>
              <w:t>통제변수</w:t>
            </w:r>
            <w:r>
              <w:rPr>
                <w:rFonts w:ascii="맑은 고딕" w:hAnsi="맑은 고딕" w:eastAsia="맑은 고딕" w:cs="맑은 고딕"/>
                <w:sz w:val="18"/>
                <w:vertAlign w:val="superscript"/>
              </w:rPr>
              <w:t>4)</w:t>
            </w:r>
            <w:r>
              <w:rPr>
                <w:rFonts w:ascii="맑은 고딕" w:hAnsi="맑은 고딕" w:eastAsia="맑은 고딕" w:cs="맑은 고딕"/>
                <w:sz w:val="18"/>
              </w:rPr>
              <w:t xml:space="preserve"> / 지역효과 / 시간효과</w:t>
            </w:r>
          </w:p>
        </w:tc>
        <w:tc>
          <w:tcPr>
            <w:tcW w:type="dxa" w:w="2353"/>
          </w:tcPr>
          <w:p>
            <w:pPr>
              <w:spacing w:after="0" w:line="276" w:lineRule="auto"/>
              <w:jc w:val="right"/>
            </w:pPr>
            <w:r>
              <w:rPr>
                <w:rFonts w:ascii="맑은 고딕" w:hAnsi="맑은 고딕" w:eastAsia="맑은 고딕" w:cs="맑은 고딕"/>
                <w:sz w:val="18"/>
              </w:rPr>
              <w:t>YES / YES / YES</w:t>
            </w:r>
          </w:p>
        </w:tc>
        <w:tc>
          <w:tcPr>
            <w:tcW w:type="dxa" w:w="2353"/>
          </w:tcPr>
          <w:p>
            <w:pPr>
              <w:spacing w:after="0" w:line="276" w:lineRule="auto"/>
              <w:jc w:val="right"/>
            </w:pPr>
            <w:r>
              <w:rPr>
                <w:rFonts w:ascii="맑은 고딕" w:hAnsi="맑은 고딕" w:eastAsia="맑은 고딕" w:cs="맑은 고딕"/>
                <w:sz w:val="18"/>
              </w:rPr>
              <w:t>YES / YES / YES</w:t>
            </w:r>
          </w:p>
        </w:tc>
        <w:tc>
          <w:tcPr>
            <w:tcW w:type="dxa" w:w="2353"/>
          </w:tcPr>
          <w:p>
            <w:pPr>
              <w:spacing w:after="0" w:line="276" w:lineRule="auto"/>
              <w:jc w:val="right"/>
            </w:pPr>
            <w:r>
              <w:rPr>
                <w:rFonts w:ascii="맑은 고딕" w:hAnsi="맑은 고딕" w:eastAsia="맑은 고딕" w:cs="맑은 고딕"/>
                <w:sz w:val="18"/>
              </w:rPr>
              <w:t>YES / YES / YES</w:t>
            </w:r>
          </w:p>
        </w:tc>
      </w:tr>
      <w:tr>
        <w:tc>
          <w:tcPr>
            <w:tcW w:type="dxa" w:w="2353"/>
          </w:tcPr>
          <w:p>
            <w:pPr>
              <w:spacing w:after="0" w:line="276" w:lineRule="auto"/>
            </w:pPr>
            <w:r>
              <w:rPr>
                <w:rFonts w:ascii="맑은 고딕" w:hAnsi="맑은 고딕" w:eastAsia="맑은 고딕" w:cs="맑은 고딕"/>
                <w:sz w:val="18"/>
              </w:rPr>
              <w:t>결정계수(R²)</w:t>
            </w:r>
          </w:p>
        </w:tc>
        <w:tc>
          <w:tcPr>
            <w:tcW w:type="dxa" w:w="2353"/>
          </w:tcPr>
          <w:p>
            <w:pPr>
              <w:spacing w:after="0" w:line="276" w:lineRule="auto"/>
              <w:jc w:val="right"/>
            </w:pPr>
            <w:r>
              <w:rPr>
                <w:rFonts w:ascii="맑은 고딕" w:hAnsi="맑은 고딕" w:eastAsia="맑은 고딕" w:cs="맑은 고딕"/>
                <w:sz w:val="18"/>
              </w:rPr>
              <w:t>0.57</w:t>
            </w:r>
          </w:p>
        </w:tc>
        <w:tc>
          <w:tcPr>
            <w:tcW w:type="dxa" w:w="2353"/>
          </w:tcPr>
          <w:p>
            <w:pPr>
              <w:spacing w:after="0" w:line="276" w:lineRule="auto"/>
              <w:jc w:val="right"/>
            </w:pPr>
            <w:r>
              <w:rPr>
                <w:rFonts w:ascii="맑은 고딕" w:hAnsi="맑은 고딕" w:eastAsia="맑은 고딕" w:cs="맑은 고딕"/>
                <w:sz w:val="18"/>
              </w:rPr>
              <w:t>0.66</w:t>
            </w:r>
          </w:p>
        </w:tc>
        <w:tc>
          <w:tcPr>
            <w:tcW w:type="dxa" w:w="2353"/>
          </w:tcPr>
          <w:p>
            <w:pPr>
              <w:spacing w:after="0" w:line="276" w:lineRule="auto"/>
              <w:jc w:val="right"/>
            </w:pPr>
            <w:r>
              <w:rPr>
                <w:rFonts w:ascii="맑은 고딕" w:hAnsi="맑은 고딕" w:eastAsia="맑은 고딕" w:cs="맑은 고딕"/>
                <w:sz w:val="18"/>
              </w:rPr>
              <w:t>0.58</w:t>
            </w:r>
          </w:p>
        </w:tc>
      </w:tr>
      <w:tr>
        <w:tc>
          <w:tcPr>
            <w:tcW w:type="dxa" w:w="2353"/>
          </w:tcPr>
          <w:p>
            <w:pPr>
              <w:spacing w:after="0" w:line="276" w:lineRule="auto"/>
            </w:pPr>
            <w:r>
              <w:rPr>
                <w:rFonts w:ascii="맑은 고딕" w:hAnsi="맑은 고딕" w:eastAsia="맑은 고딕" w:cs="맑은 고딕"/>
                <w:sz w:val="18"/>
              </w:rPr>
              <w:t>관측치 수</w:t>
            </w:r>
          </w:p>
        </w:tc>
        <w:tc>
          <w:tcPr>
            <w:tcW w:type="dxa" w:w="2353"/>
          </w:tcPr>
          <w:p>
            <w:pPr>
              <w:spacing w:after="0" w:line="276" w:lineRule="auto"/>
              <w:jc w:val="right"/>
            </w:pPr>
            <w:r>
              <w:rPr>
                <w:rFonts w:ascii="맑은 고딕" w:hAnsi="맑은 고딕" w:eastAsia="맑은 고딕" w:cs="맑은 고딕"/>
                <w:sz w:val="18"/>
              </w:rPr>
              <w:t>151</w:t>
            </w:r>
          </w:p>
        </w:tc>
        <w:tc>
          <w:tcPr>
            <w:tcW w:type="dxa" w:w="2353"/>
          </w:tcPr>
          <w:p>
            <w:pPr>
              <w:spacing w:after="0" w:line="276" w:lineRule="auto"/>
              <w:jc w:val="right"/>
            </w:pPr>
            <w:r>
              <w:rPr>
                <w:rFonts w:ascii="맑은 고딕" w:hAnsi="맑은 고딕" w:eastAsia="맑은 고딕" w:cs="맑은 고딕"/>
                <w:sz w:val="18"/>
              </w:rPr>
              <w:t>151</w:t>
            </w:r>
          </w:p>
        </w:tc>
        <w:tc>
          <w:tcPr>
            <w:tcW w:type="dxa" w:w="2353"/>
          </w:tcPr>
          <w:p>
            <w:pPr>
              <w:spacing w:after="0" w:line="276" w:lineRule="auto"/>
              <w:jc w:val="right"/>
            </w:pPr>
            <w:r>
              <w:rPr>
                <w:rFonts w:ascii="맑은 고딕" w:hAnsi="맑은 고딕" w:eastAsia="맑은 고딕" w:cs="맑은 고딕"/>
                <w:sz w:val="18"/>
              </w:rPr>
              <w:t>151</w:t>
            </w:r>
          </w:p>
        </w:tc>
      </w:tr>
    </w:tbl>
    <w:p/>
    <w:p>
      <w:r>
        <w:rPr>
          <w:rFonts w:ascii="맑은 고딕" w:hAnsi="맑은 고딕" w:eastAsia="맑은 고딕" w:cs="맑은 고딕"/>
          <w:color w:val="444444"/>
          <w:sz w:val="18"/>
        </w:rPr>
        <w:t>주: 1) ( ) 안은 통상 표준오차 2) *, **, *** 는 각각 10%, 5%, 1% 유의수준 3) 입지계수가 1 이상인 산업들의 부가가치 비중 합(%) 4) 경제활동인구 증가율(Δln). 자료: 자체 추정(17개 시도 × 2016~2024년, 세종은 자료가 있는 연도만)</w:t>
      </w:r>
    </w:p>
    <w:p>
      <w:r>
        <w:rPr>
          <w:rFonts w:ascii="맑은 고딕" w:hAnsi="맑은 고딕" w:eastAsia="맑은 고딕" w:cs="맑은 고딕"/>
          <w:b/>
        </w:rPr>
        <w:t>3. 산업구조 변수가 소비(소매판매)에 미치는 영향은 세 변수 모두 통계적으로 유의하지 않았다.</w:t>
      </w:r>
      <w:r>
        <w:rPr>
          <w:rFonts w:ascii="맑은 고딕" w:hAnsi="맑은 고딕" w:eastAsia="맑은 고딕" w:cs="맑은 고딕"/>
        </w:rPr>
        <w:t xml:space="preserve"> 종속변수를 시도별 소매판매액지수(불변, 2020=100)의 증가율로 바꿔 같은 모형을 추정하면 특화산업 비중(전기)의 계수는 0.0006, 산업집중도 증가율은 -0.045, 변화속도는 -0.18로 모두 표준오차 안에 있다. 원보고서가 보고한 특화산업 확대의 소비 효과는 연간 자료에서는 나타나지 않았다.</w:t>
      </w:r>
    </w:p>
    <w:p>
      <w:r>
        <w:rPr>
          <w:rFonts w:ascii="맑은 고딕" w:hAnsi="맑은 고딕" w:eastAsia="맑은 고딕" w:cs="맑은 고딕"/>
          <w:b/>
        </w:rPr>
        <w:t>[표 3-3] 지역 산업구조가 소매판매 증가율에 미친 영향</w:t>
      </w:r>
      <w:r>
        <w:rPr>
          <w:rFonts w:ascii="맑은 고딕" w:hAnsi="맑은 고딕" w:eastAsia="맑은 고딕" w:cs="맑은 고딕"/>
          <w:b/>
          <w:vertAlign w:val="superscript"/>
        </w:rPr>
        <w:t>1)2)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E8ECF2"/>
          </w:tcPr>
          <w:p>
            <w:pPr>
              <w:spacing w:after="0" w:line="276" w:lineRule="auto"/>
              <w:jc w:val="center"/>
            </w:pPr>
            <w:r>
              <w:rPr>
                <w:rFonts w:ascii="맑은 고딕" w:hAnsi="맑은 고딕" w:eastAsia="맑은 고딕" w:cs="맑은 고딕"/>
                <w:b/>
                <w:sz w:val="18"/>
              </w:rPr>
              <w:t>종속변수: Δln(소매판매액지수)</w:t>
            </w:r>
          </w:p>
        </w:tc>
        <w:tc>
          <w:tcPr>
            <w:tcW w:type="dxa" w:w="2353"/>
            <w:shd w:val="clear" w:color="auto" w:fill="E8ECF2"/>
          </w:tcPr>
          <w:p>
            <w:pPr>
              <w:spacing w:after="0" w:line="276" w:lineRule="auto"/>
              <w:jc w:val="right"/>
            </w:pPr>
            <w:r>
              <w:rPr>
                <w:rFonts w:ascii="맑은 고딕" w:hAnsi="맑은 고딕" w:eastAsia="맑은 고딕" w:cs="맑은 고딕"/>
                <w:b/>
                <w:sz w:val="18"/>
              </w:rPr>
              <w:t>(1)</w:t>
            </w:r>
          </w:p>
        </w:tc>
        <w:tc>
          <w:tcPr>
            <w:tcW w:type="dxa" w:w="2353"/>
            <w:shd w:val="clear" w:color="auto" w:fill="E8ECF2"/>
          </w:tcPr>
          <w:p>
            <w:pPr>
              <w:spacing w:after="0" w:line="276" w:lineRule="auto"/>
              <w:jc w:val="right"/>
            </w:pPr>
            <w:r>
              <w:rPr>
                <w:rFonts w:ascii="맑은 고딕" w:hAnsi="맑은 고딕" w:eastAsia="맑은 고딕" w:cs="맑은 고딕"/>
                <w:b/>
                <w:sz w:val="18"/>
              </w:rPr>
              <w:t>(2)</w:t>
            </w:r>
          </w:p>
        </w:tc>
        <w:tc>
          <w:tcPr>
            <w:tcW w:type="dxa" w:w="2353"/>
            <w:shd w:val="clear" w:color="auto" w:fill="E8ECF2"/>
          </w:tcPr>
          <w:p>
            <w:pPr>
              <w:spacing w:after="0" w:line="276" w:lineRule="auto"/>
              <w:jc w:val="right"/>
            </w:pPr>
            <w:r>
              <w:rPr>
                <w:rFonts w:ascii="맑은 고딕" w:hAnsi="맑은 고딕" w:eastAsia="맑은 고딕" w:cs="맑은 고딕"/>
                <w:b/>
                <w:sz w:val="18"/>
              </w:rPr>
              <w:t>(3)</w:t>
            </w:r>
          </w:p>
        </w:tc>
      </w:tr>
      <w:tr>
        <w:tc>
          <w:tcPr>
            <w:tcW w:type="dxa" w:w="2353"/>
          </w:tcPr>
          <w:p>
            <w:pPr>
              <w:spacing w:after="0" w:line="276" w:lineRule="auto"/>
            </w:pPr>
            <w:r>
              <w:rPr>
                <w:rFonts w:ascii="맑은 고딕" w:hAnsi="맑은 고딕" w:eastAsia="맑은 고딕" w:cs="맑은 고딕"/>
                <w:sz w:val="18"/>
              </w:rPr>
              <w:t>특화산업 비중</w:t>
            </w:r>
            <w:r>
              <w:rPr>
                <w:rFonts w:ascii="맑은 고딕" w:hAnsi="맑은 고딕" w:eastAsia="맑은 고딕" w:cs="맑은 고딕"/>
                <w:sz w:val="18"/>
                <w:vertAlign w:val="superscript"/>
              </w:rPr>
              <w:t>3)</w:t>
            </w:r>
            <w:r>
              <w:rPr>
                <w:rFonts w:ascii="맑은 고딕" w:hAnsi="맑은 고딕" w:eastAsia="맑은 고딕" w:cs="맑은 고딕"/>
                <w:sz w:val="18"/>
              </w:rPr>
              <w:t>(t-1)</w:t>
            </w:r>
          </w:p>
        </w:tc>
        <w:tc>
          <w:tcPr>
            <w:tcW w:type="dxa" w:w="2353"/>
          </w:tcPr>
          <w:p>
            <w:pPr>
              <w:spacing w:after="0" w:line="276" w:lineRule="auto"/>
              <w:jc w:val="right"/>
            </w:pPr>
            <w:r>
              <w:rPr>
                <w:rFonts w:ascii="맑은 고딕" w:hAnsi="맑은 고딕" w:eastAsia="맑은 고딕" w:cs="맑은 고딕"/>
                <w:sz w:val="18"/>
              </w:rPr>
              <w:t>0.0006 (0.0011)</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w:t>
            </w:r>
          </w:p>
        </w:tc>
      </w:tr>
      <w:tr>
        <w:tc>
          <w:tcPr>
            <w:tcW w:type="dxa" w:w="2353"/>
          </w:tcPr>
          <w:p>
            <w:pPr>
              <w:spacing w:after="0" w:line="276" w:lineRule="auto"/>
            </w:pPr>
            <w:r>
              <w:rPr>
                <w:rFonts w:ascii="맑은 고딕" w:hAnsi="맑은 고딕" w:eastAsia="맑은 고딕" w:cs="맑은 고딕"/>
                <w:sz w:val="18"/>
              </w:rPr>
              <w:t>Δln(산업집중도)</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-0.045 (0.078)</w:t>
            </w:r>
          </w:p>
        </w:tc>
        <w:tc>
          <w:tcPr>
            <w:tcW w:type="dxa" w:w="2353"/>
          </w:tcPr>
          <w:p>
            <w:pPr>
              <w:spacing w:after="0" w:line="276" w:lineRule="auto"/>
              <w:jc w:val="right"/>
            </w:pPr>
            <w:r>
              <w:rPr>
                <w:rFonts w:ascii="맑은 고딕" w:hAnsi="맑은 고딕" w:eastAsia="맑은 고딕" w:cs="맑은 고딕"/>
                <w:sz w:val="18"/>
              </w:rPr>
              <w:t>-</w:t>
            </w:r>
          </w:p>
        </w:tc>
      </w:tr>
      <w:tr>
        <w:tc>
          <w:tcPr>
            <w:tcW w:type="dxa" w:w="2353"/>
          </w:tcPr>
          <w:p>
            <w:pPr>
              <w:spacing w:after="0" w:line="276" w:lineRule="auto"/>
            </w:pPr>
            <w:r>
              <w:rPr>
                <w:rFonts w:ascii="맑은 고딕" w:hAnsi="맑은 고딕" w:eastAsia="맑은 고딕" w:cs="맑은 고딕"/>
                <w:sz w:val="18"/>
              </w:rPr>
              <w:t>산업구조변화속도</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-0.182 (0.385)</w:t>
            </w:r>
          </w:p>
        </w:tc>
      </w:tr>
      <w:tr>
        <w:tc>
          <w:tcPr>
            <w:tcW w:type="dxa" w:w="2353"/>
          </w:tcPr>
          <w:p>
            <w:pPr>
              <w:spacing w:after="0" w:line="276" w:lineRule="auto"/>
            </w:pPr>
            <w:r>
              <w:rPr>
                <w:rFonts w:ascii="맑은 고딕" w:hAnsi="맑은 고딕" w:eastAsia="맑은 고딕" w:cs="맑은 고딕"/>
                <w:sz w:val="18"/>
              </w:rPr>
              <w:t>통제변수</w:t>
            </w:r>
            <w:r>
              <w:rPr>
                <w:rFonts w:ascii="맑은 고딕" w:hAnsi="맑은 고딕" w:eastAsia="맑은 고딕" w:cs="맑은 고딕"/>
                <w:sz w:val="18"/>
                <w:vertAlign w:val="superscript"/>
              </w:rPr>
              <w:t>4)</w:t>
            </w:r>
            <w:r>
              <w:rPr>
                <w:rFonts w:ascii="맑은 고딕" w:hAnsi="맑은 고딕" w:eastAsia="맑은 고딕" w:cs="맑은 고딕"/>
                <w:sz w:val="18"/>
              </w:rPr>
              <w:t xml:space="preserve"> / 지역효과 / 시간효과</w:t>
            </w:r>
          </w:p>
        </w:tc>
        <w:tc>
          <w:tcPr>
            <w:tcW w:type="dxa" w:w="2353"/>
          </w:tcPr>
          <w:p>
            <w:pPr>
              <w:spacing w:after="0" w:line="276" w:lineRule="auto"/>
              <w:jc w:val="right"/>
            </w:pPr>
            <w:r>
              <w:rPr>
                <w:rFonts w:ascii="맑은 고딕" w:hAnsi="맑은 고딕" w:eastAsia="맑은 고딕" w:cs="맑은 고딕"/>
                <w:sz w:val="18"/>
              </w:rPr>
              <w:t>YES / YES / YES</w:t>
            </w:r>
          </w:p>
        </w:tc>
        <w:tc>
          <w:tcPr>
            <w:tcW w:type="dxa" w:w="2353"/>
          </w:tcPr>
          <w:p>
            <w:pPr>
              <w:spacing w:after="0" w:line="276" w:lineRule="auto"/>
              <w:jc w:val="right"/>
            </w:pPr>
            <w:r>
              <w:rPr>
                <w:rFonts w:ascii="맑은 고딕" w:hAnsi="맑은 고딕" w:eastAsia="맑은 고딕" w:cs="맑은 고딕"/>
                <w:sz w:val="18"/>
              </w:rPr>
              <w:t>YES / YES / YES</w:t>
            </w:r>
          </w:p>
        </w:tc>
        <w:tc>
          <w:tcPr>
            <w:tcW w:type="dxa" w:w="2353"/>
          </w:tcPr>
          <w:p>
            <w:pPr>
              <w:spacing w:after="0" w:line="276" w:lineRule="auto"/>
              <w:jc w:val="right"/>
            </w:pPr>
            <w:r>
              <w:rPr>
                <w:rFonts w:ascii="맑은 고딕" w:hAnsi="맑은 고딕" w:eastAsia="맑은 고딕" w:cs="맑은 고딕"/>
                <w:sz w:val="18"/>
              </w:rPr>
              <w:t>YES / YES / YES</w:t>
            </w:r>
          </w:p>
        </w:tc>
      </w:tr>
      <w:tr>
        <w:tc>
          <w:tcPr>
            <w:tcW w:type="dxa" w:w="2353"/>
          </w:tcPr>
          <w:p>
            <w:pPr>
              <w:spacing w:after="0" w:line="276" w:lineRule="auto"/>
            </w:pPr>
            <w:r>
              <w:rPr>
                <w:rFonts w:ascii="맑은 고딕" w:hAnsi="맑은 고딕" w:eastAsia="맑은 고딕" w:cs="맑은 고딕"/>
                <w:sz w:val="18"/>
              </w:rPr>
              <w:t>결정계수(R²)</w:t>
            </w:r>
          </w:p>
        </w:tc>
        <w:tc>
          <w:tcPr>
            <w:tcW w:type="dxa" w:w="2353"/>
          </w:tcPr>
          <w:p>
            <w:pPr>
              <w:spacing w:after="0" w:line="276" w:lineRule="auto"/>
              <w:jc w:val="right"/>
            </w:pPr>
            <w:r>
              <w:rPr>
                <w:rFonts w:ascii="맑은 고딕" w:hAnsi="맑은 고딕" w:eastAsia="맑은 고딕" w:cs="맑은 고딕"/>
                <w:sz w:val="18"/>
              </w:rPr>
              <w:t>0.34</w:t>
            </w:r>
          </w:p>
        </w:tc>
        <w:tc>
          <w:tcPr>
            <w:tcW w:type="dxa" w:w="2353"/>
          </w:tcPr>
          <w:p>
            <w:pPr>
              <w:spacing w:after="0" w:line="276" w:lineRule="auto"/>
              <w:jc w:val="right"/>
            </w:pPr>
            <w:r>
              <w:rPr>
                <w:rFonts w:ascii="맑은 고딕" w:hAnsi="맑은 고딕" w:eastAsia="맑은 고딕" w:cs="맑은 고딕"/>
                <w:sz w:val="18"/>
              </w:rPr>
              <w:t>0.34</w:t>
            </w:r>
          </w:p>
        </w:tc>
        <w:tc>
          <w:tcPr>
            <w:tcW w:type="dxa" w:w="2353"/>
          </w:tcPr>
          <w:p>
            <w:pPr>
              <w:spacing w:after="0" w:line="276" w:lineRule="auto"/>
              <w:jc w:val="right"/>
            </w:pPr>
            <w:r>
              <w:rPr>
                <w:rFonts w:ascii="맑은 고딕" w:hAnsi="맑은 고딕" w:eastAsia="맑은 고딕" w:cs="맑은 고딕"/>
                <w:sz w:val="18"/>
              </w:rPr>
              <w:t>0.34</w:t>
            </w:r>
          </w:p>
        </w:tc>
      </w:tr>
      <w:tr>
        <w:tc>
          <w:tcPr>
            <w:tcW w:type="dxa" w:w="2353"/>
          </w:tcPr>
          <w:p>
            <w:pPr>
              <w:spacing w:after="0" w:line="276" w:lineRule="auto"/>
            </w:pPr>
            <w:r>
              <w:rPr>
                <w:rFonts w:ascii="맑은 고딕" w:hAnsi="맑은 고딕" w:eastAsia="맑은 고딕" w:cs="맑은 고딕"/>
                <w:sz w:val="18"/>
              </w:rPr>
              <w:t>관측치 수</w:t>
            </w:r>
          </w:p>
        </w:tc>
        <w:tc>
          <w:tcPr>
            <w:tcW w:type="dxa" w:w="2353"/>
          </w:tcPr>
          <w:p>
            <w:pPr>
              <w:spacing w:after="0" w:line="276" w:lineRule="auto"/>
              <w:jc w:val="right"/>
            </w:pPr>
            <w:r>
              <w:rPr>
                <w:rFonts w:ascii="맑은 고딕" w:hAnsi="맑은 고딕" w:eastAsia="맑은 고딕" w:cs="맑은 고딕"/>
                <w:sz w:val="18"/>
              </w:rPr>
              <w:t>151</w:t>
            </w:r>
          </w:p>
        </w:tc>
        <w:tc>
          <w:tcPr>
            <w:tcW w:type="dxa" w:w="2353"/>
          </w:tcPr>
          <w:p>
            <w:pPr>
              <w:spacing w:after="0" w:line="276" w:lineRule="auto"/>
              <w:jc w:val="right"/>
            </w:pPr>
            <w:r>
              <w:rPr>
                <w:rFonts w:ascii="맑은 고딕" w:hAnsi="맑은 고딕" w:eastAsia="맑은 고딕" w:cs="맑은 고딕"/>
                <w:sz w:val="18"/>
              </w:rPr>
              <w:t>151</w:t>
            </w:r>
          </w:p>
        </w:tc>
        <w:tc>
          <w:tcPr>
            <w:tcW w:type="dxa" w:w="2353"/>
          </w:tcPr>
          <w:p>
            <w:pPr>
              <w:spacing w:after="0" w:line="276" w:lineRule="auto"/>
              <w:jc w:val="right"/>
            </w:pPr>
            <w:r>
              <w:rPr>
                <w:rFonts w:ascii="맑은 고딕" w:hAnsi="맑은 고딕" w:eastAsia="맑은 고딕" w:cs="맑은 고딕"/>
                <w:sz w:val="18"/>
              </w:rPr>
              <w:t>151</w:t>
            </w:r>
          </w:p>
        </w:tc>
      </w:tr>
    </w:tbl>
    <w:p/>
    <w:p>
      <w:r>
        <w:rPr>
          <w:rFonts w:ascii="맑은 고딕" w:hAnsi="맑은 고딕" w:eastAsia="맑은 고딕" w:cs="맑은 고딕"/>
          <w:color w:val="444444"/>
          <w:sz w:val="18"/>
        </w:rPr>
        <w:t>주: 1)~4) 는 표 3-1과 같다. 소매판매액지수는 국가데이터처 「서비스업동향조사」 시도별 소매판매액지수(불변, 2020=100, 총지수). 자료: 자체 추정</w:t>
      </w:r>
    </w:p>
    <w:p>
      <w:r>
        <w:rPr>
          <w:rFonts w:ascii="맑은 고딕" w:hAnsi="맑은 고딕" w:eastAsia="맑은 고딕" w:cs="맑은 고딕"/>
          <w:b/>
        </w:rPr>
        <w:t>4. 산업집중도 상승과 산업구조 변화속도는 수출 증가율에 양(+)의 유의한 영향을 미치는 것으로 추정됐다.</w:t>
      </w:r>
      <w:r>
        <w:rPr>
          <w:rFonts w:ascii="맑은 고딕" w:hAnsi="맑은 고딕" w:eastAsia="맑은 고딕" w:cs="맑은 고딕"/>
        </w:rPr>
        <w:t xml:space="preserve"> 종속변수를 시도별 수출액(관세청 기업무역활동통계, 활동기업 수출액, 명목 달러)의 증가율로 두면 산업집중도가 1% 상승할 때 수출은 0.90%p, 변화속도가 0.01 높아질 때 수출은 3.6%p 높아지는 것으로 나타났다(모두 1% 유의수준). 특화산업 비중의 계수는 유의하지 않다. 수출 자료가 2016년부터 있어 관측 기간은 2017~2024년(관측치 135개)이다.</w:t>
      </w:r>
    </w:p>
    <w:p>
      <w:r>
        <w:rPr>
          <w:rFonts w:ascii="맑은 고딕" w:hAnsi="맑은 고딕" w:eastAsia="맑은 고딕" w:cs="맑은 고딕"/>
          <w:b/>
        </w:rPr>
        <w:t>[표 3-4] 지역 산업구조가 수출 증가율에 미친 영향</w:t>
      </w:r>
      <w:r>
        <w:rPr>
          <w:rFonts w:ascii="맑은 고딕" w:hAnsi="맑은 고딕" w:eastAsia="맑은 고딕" w:cs="맑은 고딕"/>
          <w:b/>
          <w:vertAlign w:val="superscript"/>
        </w:rPr>
        <w:t>1)2)</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E8ECF2"/>
          </w:tcPr>
          <w:p>
            <w:pPr>
              <w:spacing w:after="0" w:line="276" w:lineRule="auto"/>
              <w:jc w:val="center"/>
            </w:pPr>
            <w:r>
              <w:rPr>
                <w:rFonts w:ascii="맑은 고딕" w:hAnsi="맑은 고딕" w:eastAsia="맑은 고딕" w:cs="맑은 고딕"/>
                <w:b/>
                <w:sz w:val="18"/>
              </w:rPr>
              <w:t>종속변수: Δln(수출액)</w:t>
            </w:r>
          </w:p>
        </w:tc>
        <w:tc>
          <w:tcPr>
            <w:tcW w:type="dxa" w:w="2353"/>
            <w:shd w:val="clear" w:color="auto" w:fill="E8ECF2"/>
          </w:tcPr>
          <w:p>
            <w:pPr>
              <w:spacing w:after="0" w:line="276" w:lineRule="auto"/>
              <w:jc w:val="right"/>
            </w:pPr>
            <w:r>
              <w:rPr>
                <w:rFonts w:ascii="맑은 고딕" w:hAnsi="맑은 고딕" w:eastAsia="맑은 고딕" w:cs="맑은 고딕"/>
                <w:b/>
                <w:sz w:val="18"/>
              </w:rPr>
              <w:t>(1)</w:t>
            </w:r>
          </w:p>
        </w:tc>
        <w:tc>
          <w:tcPr>
            <w:tcW w:type="dxa" w:w="2353"/>
            <w:shd w:val="clear" w:color="auto" w:fill="E8ECF2"/>
          </w:tcPr>
          <w:p>
            <w:pPr>
              <w:spacing w:after="0" w:line="276" w:lineRule="auto"/>
              <w:jc w:val="right"/>
            </w:pPr>
            <w:r>
              <w:rPr>
                <w:rFonts w:ascii="맑은 고딕" w:hAnsi="맑은 고딕" w:eastAsia="맑은 고딕" w:cs="맑은 고딕"/>
                <w:b/>
                <w:sz w:val="18"/>
              </w:rPr>
              <w:t>(2)</w:t>
            </w:r>
          </w:p>
        </w:tc>
        <w:tc>
          <w:tcPr>
            <w:tcW w:type="dxa" w:w="2353"/>
            <w:shd w:val="clear" w:color="auto" w:fill="E8ECF2"/>
          </w:tcPr>
          <w:p>
            <w:pPr>
              <w:spacing w:after="0" w:line="276" w:lineRule="auto"/>
              <w:jc w:val="right"/>
            </w:pPr>
            <w:r>
              <w:rPr>
                <w:rFonts w:ascii="맑은 고딕" w:hAnsi="맑은 고딕" w:eastAsia="맑은 고딕" w:cs="맑은 고딕"/>
                <w:b/>
                <w:sz w:val="18"/>
              </w:rPr>
              <w:t>(3)</w:t>
            </w:r>
          </w:p>
        </w:tc>
      </w:tr>
      <w:tr>
        <w:tc>
          <w:tcPr>
            <w:tcW w:type="dxa" w:w="2353"/>
          </w:tcPr>
          <w:p>
            <w:pPr>
              <w:spacing w:after="0" w:line="276" w:lineRule="auto"/>
            </w:pPr>
            <w:r>
              <w:rPr>
                <w:rFonts w:ascii="맑은 고딕" w:hAnsi="맑은 고딕" w:eastAsia="맑은 고딕" w:cs="맑은 고딕"/>
                <w:sz w:val="18"/>
              </w:rPr>
              <w:t>특화산업 비중</w:t>
            </w:r>
            <w:r>
              <w:rPr>
                <w:rFonts w:ascii="맑은 고딕" w:hAnsi="맑은 고딕" w:eastAsia="맑은 고딕" w:cs="맑은 고딕"/>
                <w:sz w:val="18"/>
                <w:vertAlign w:val="superscript"/>
              </w:rPr>
              <w:t>3)</w:t>
            </w:r>
            <w:r>
              <w:rPr>
                <w:rFonts w:ascii="맑은 고딕" w:hAnsi="맑은 고딕" w:eastAsia="맑은 고딕" w:cs="맑은 고딕"/>
                <w:sz w:val="18"/>
              </w:rPr>
              <w:t>(t-1)</w:t>
            </w:r>
          </w:p>
        </w:tc>
        <w:tc>
          <w:tcPr>
            <w:tcW w:type="dxa" w:w="2353"/>
          </w:tcPr>
          <w:p>
            <w:pPr>
              <w:spacing w:after="0" w:line="276" w:lineRule="auto"/>
              <w:jc w:val="right"/>
            </w:pPr>
            <w:r>
              <w:rPr>
                <w:rFonts w:ascii="맑은 고딕" w:hAnsi="맑은 고딕" w:eastAsia="맑은 고딕" w:cs="맑은 고딕"/>
                <w:sz w:val="18"/>
              </w:rPr>
              <w:t>-0.0008 (0.0032)</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w:t>
            </w:r>
          </w:p>
        </w:tc>
      </w:tr>
      <w:tr>
        <w:tc>
          <w:tcPr>
            <w:tcW w:type="dxa" w:w="2353"/>
          </w:tcPr>
          <w:p>
            <w:pPr>
              <w:spacing w:after="0" w:line="276" w:lineRule="auto"/>
            </w:pPr>
            <w:r>
              <w:rPr>
                <w:rFonts w:ascii="맑은 고딕" w:hAnsi="맑은 고딕" w:eastAsia="맑은 고딕" w:cs="맑은 고딕"/>
                <w:sz w:val="18"/>
              </w:rPr>
              <w:t>Δln(산업집중도)</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0.900*** (0.213)</w:t>
            </w:r>
          </w:p>
        </w:tc>
        <w:tc>
          <w:tcPr>
            <w:tcW w:type="dxa" w:w="2353"/>
          </w:tcPr>
          <w:p>
            <w:pPr>
              <w:spacing w:after="0" w:line="276" w:lineRule="auto"/>
              <w:jc w:val="right"/>
            </w:pPr>
            <w:r>
              <w:rPr>
                <w:rFonts w:ascii="맑은 고딕" w:hAnsi="맑은 고딕" w:eastAsia="맑은 고딕" w:cs="맑은 고딕"/>
                <w:sz w:val="18"/>
              </w:rPr>
              <w:t>-</w:t>
            </w:r>
          </w:p>
        </w:tc>
      </w:tr>
      <w:tr>
        <w:tc>
          <w:tcPr>
            <w:tcW w:type="dxa" w:w="2353"/>
          </w:tcPr>
          <w:p>
            <w:pPr>
              <w:spacing w:after="0" w:line="276" w:lineRule="auto"/>
            </w:pPr>
            <w:r>
              <w:rPr>
                <w:rFonts w:ascii="맑은 고딕" w:hAnsi="맑은 고딕" w:eastAsia="맑은 고딕" w:cs="맑은 고딕"/>
                <w:sz w:val="18"/>
              </w:rPr>
              <w:t>산업구조변화속도</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w:t>
            </w:r>
          </w:p>
        </w:tc>
        <w:tc>
          <w:tcPr>
            <w:tcW w:type="dxa" w:w="2353"/>
          </w:tcPr>
          <w:p>
            <w:pPr>
              <w:spacing w:after="0" w:line="276" w:lineRule="auto"/>
              <w:jc w:val="right"/>
            </w:pPr>
            <w:r>
              <w:rPr>
                <w:rFonts w:ascii="맑은 고딕" w:hAnsi="맑은 고딕" w:eastAsia="맑은 고딕" w:cs="맑은 고딕"/>
                <w:sz w:val="18"/>
              </w:rPr>
              <w:t>3.560*** (1.114)</w:t>
            </w:r>
          </w:p>
        </w:tc>
      </w:tr>
      <w:tr>
        <w:tc>
          <w:tcPr>
            <w:tcW w:type="dxa" w:w="2353"/>
          </w:tcPr>
          <w:p>
            <w:pPr>
              <w:spacing w:after="0" w:line="276" w:lineRule="auto"/>
            </w:pPr>
            <w:r>
              <w:rPr>
                <w:rFonts w:ascii="맑은 고딕" w:hAnsi="맑은 고딕" w:eastAsia="맑은 고딕" w:cs="맑은 고딕"/>
                <w:sz w:val="18"/>
              </w:rPr>
              <w:t>통제변수</w:t>
            </w:r>
            <w:r>
              <w:rPr>
                <w:rFonts w:ascii="맑은 고딕" w:hAnsi="맑은 고딕" w:eastAsia="맑은 고딕" w:cs="맑은 고딕"/>
                <w:sz w:val="18"/>
                <w:vertAlign w:val="superscript"/>
              </w:rPr>
              <w:t>4)</w:t>
            </w:r>
            <w:r>
              <w:rPr>
                <w:rFonts w:ascii="맑은 고딕" w:hAnsi="맑은 고딕" w:eastAsia="맑은 고딕" w:cs="맑은 고딕"/>
                <w:sz w:val="18"/>
              </w:rPr>
              <w:t xml:space="preserve"> / 지역효과 / 시간효과</w:t>
            </w:r>
          </w:p>
        </w:tc>
        <w:tc>
          <w:tcPr>
            <w:tcW w:type="dxa" w:w="2353"/>
          </w:tcPr>
          <w:p>
            <w:pPr>
              <w:spacing w:after="0" w:line="276" w:lineRule="auto"/>
              <w:jc w:val="right"/>
            </w:pPr>
            <w:r>
              <w:rPr>
                <w:rFonts w:ascii="맑은 고딕" w:hAnsi="맑은 고딕" w:eastAsia="맑은 고딕" w:cs="맑은 고딕"/>
                <w:sz w:val="18"/>
              </w:rPr>
              <w:t>YES / YES / YES</w:t>
            </w:r>
          </w:p>
        </w:tc>
        <w:tc>
          <w:tcPr>
            <w:tcW w:type="dxa" w:w="2353"/>
          </w:tcPr>
          <w:p>
            <w:pPr>
              <w:spacing w:after="0" w:line="276" w:lineRule="auto"/>
              <w:jc w:val="right"/>
            </w:pPr>
            <w:r>
              <w:rPr>
                <w:rFonts w:ascii="맑은 고딕" w:hAnsi="맑은 고딕" w:eastAsia="맑은 고딕" w:cs="맑은 고딕"/>
                <w:sz w:val="18"/>
              </w:rPr>
              <w:t>YES / YES / YES</w:t>
            </w:r>
          </w:p>
        </w:tc>
        <w:tc>
          <w:tcPr>
            <w:tcW w:type="dxa" w:w="2353"/>
          </w:tcPr>
          <w:p>
            <w:pPr>
              <w:spacing w:after="0" w:line="276" w:lineRule="auto"/>
              <w:jc w:val="right"/>
            </w:pPr>
            <w:r>
              <w:rPr>
                <w:rFonts w:ascii="맑은 고딕" w:hAnsi="맑은 고딕" w:eastAsia="맑은 고딕" w:cs="맑은 고딕"/>
                <w:sz w:val="18"/>
              </w:rPr>
              <w:t>YES / YES / YES</w:t>
            </w:r>
          </w:p>
        </w:tc>
      </w:tr>
      <w:tr>
        <w:tc>
          <w:tcPr>
            <w:tcW w:type="dxa" w:w="2353"/>
          </w:tcPr>
          <w:p>
            <w:pPr>
              <w:spacing w:after="0" w:line="276" w:lineRule="auto"/>
            </w:pPr>
            <w:r>
              <w:rPr>
                <w:rFonts w:ascii="맑은 고딕" w:hAnsi="맑은 고딕" w:eastAsia="맑은 고딕" w:cs="맑은 고딕"/>
                <w:sz w:val="18"/>
              </w:rPr>
              <w:t>결정계수(R²)</w:t>
            </w:r>
          </w:p>
        </w:tc>
        <w:tc>
          <w:tcPr>
            <w:tcW w:type="dxa" w:w="2353"/>
          </w:tcPr>
          <w:p>
            <w:pPr>
              <w:spacing w:after="0" w:line="276" w:lineRule="auto"/>
              <w:jc w:val="right"/>
            </w:pPr>
            <w:r>
              <w:rPr>
                <w:rFonts w:ascii="맑은 고딕" w:hAnsi="맑은 고딕" w:eastAsia="맑은 고딕" w:cs="맑은 고딕"/>
                <w:sz w:val="18"/>
              </w:rPr>
              <w:t>0.50</w:t>
            </w:r>
          </w:p>
        </w:tc>
        <w:tc>
          <w:tcPr>
            <w:tcW w:type="dxa" w:w="2353"/>
          </w:tcPr>
          <w:p>
            <w:pPr>
              <w:spacing w:after="0" w:line="276" w:lineRule="auto"/>
              <w:jc w:val="right"/>
            </w:pPr>
            <w:r>
              <w:rPr>
                <w:rFonts w:ascii="맑은 고딕" w:hAnsi="맑은 고딕" w:eastAsia="맑은 고딕" w:cs="맑은 고딕"/>
                <w:sz w:val="18"/>
              </w:rPr>
              <w:t>0.57</w:t>
            </w:r>
          </w:p>
        </w:tc>
        <w:tc>
          <w:tcPr>
            <w:tcW w:type="dxa" w:w="2353"/>
          </w:tcPr>
          <w:p>
            <w:pPr>
              <w:spacing w:after="0" w:line="276" w:lineRule="auto"/>
              <w:jc w:val="right"/>
            </w:pPr>
            <w:r>
              <w:rPr>
                <w:rFonts w:ascii="맑은 고딕" w:hAnsi="맑은 고딕" w:eastAsia="맑은 고딕" w:cs="맑은 고딕"/>
                <w:sz w:val="18"/>
              </w:rPr>
              <w:t>0.55</w:t>
            </w:r>
          </w:p>
        </w:tc>
      </w:tr>
      <w:tr>
        <w:tc>
          <w:tcPr>
            <w:tcW w:type="dxa" w:w="2353"/>
          </w:tcPr>
          <w:p>
            <w:pPr>
              <w:spacing w:after="0" w:line="276" w:lineRule="auto"/>
            </w:pPr>
            <w:r>
              <w:rPr>
                <w:rFonts w:ascii="맑은 고딕" w:hAnsi="맑은 고딕" w:eastAsia="맑은 고딕" w:cs="맑은 고딕"/>
                <w:sz w:val="18"/>
              </w:rPr>
              <w:t>관측치 수</w:t>
            </w:r>
          </w:p>
        </w:tc>
        <w:tc>
          <w:tcPr>
            <w:tcW w:type="dxa" w:w="2353"/>
          </w:tcPr>
          <w:p>
            <w:pPr>
              <w:spacing w:after="0" w:line="276" w:lineRule="auto"/>
              <w:jc w:val="right"/>
            </w:pPr>
            <w:r>
              <w:rPr>
                <w:rFonts w:ascii="맑은 고딕" w:hAnsi="맑은 고딕" w:eastAsia="맑은 고딕" w:cs="맑은 고딕"/>
                <w:sz w:val="18"/>
              </w:rPr>
              <w:t>135</w:t>
            </w:r>
          </w:p>
        </w:tc>
        <w:tc>
          <w:tcPr>
            <w:tcW w:type="dxa" w:w="2353"/>
          </w:tcPr>
          <w:p>
            <w:pPr>
              <w:spacing w:after="0" w:line="276" w:lineRule="auto"/>
              <w:jc w:val="right"/>
            </w:pPr>
            <w:r>
              <w:rPr>
                <w:rFonts w:ascii="맑은 고딕" w:hAnsi="맑은 고딕" w:eastAsia="맑은 고딕" w:cs="맑은 고딕"/>
                <w:sz w:val="18"/>
              </w:rPr>
              <w:t>135</w:t>
            </w:r>
          </w:p>
        </w:tc>
        <w:tc>
          <w:tcPr>
            <w:tcW w:type="dxa" w:w="2353"/>
          </w:tcPr>
          <w:p>
            <w:pPr>
              <w:spacing w:after="0" w:line="276" w:lineRule="auto"/>
              <w:jc w:val="right"/>
            </w:pPr>
            <w:r>
              <w:rPr>
                <w:rFonts w:ascii="맑은 고딕" w:hAnsi="맑은 고딕" w:eastAsia="맑은 고딕" w:cs="맑은 고딕"/>
                <w:sz w:val="18"/>
              </w:rPr>
              <w:t>135</w:t>
            </w:r>
          </w:p>
        </w:tc>
      </w:tr>
    </w:tbl>
    <w:p/>
    <w:p>
      <w:r>
        <w:rPr>
          <w:rFonts w:ascii="맑은 고딕" w:hAnsi="맑은 고딕" w:eastAsia="맑은 고딕" w:cs="맑은 고딕"/>
          <w:color w:val="444444"/>
          <w:sz w:val="18"/>
        </w:rPr>
        <w:t>주: 1)~4) 는 표 3-1과 같다. 수출액은 관세청 「기업무역활동통계」 지역별 수출현황의 활동기업 수출액(명목 달러), 2017~2024년. 자료: 자체 추정</w:t>
      </w:r>
    </w:p>
    <w:p>
      <w:r>
        <w:rPr>
          <w:rFonts w:ascii="맑은 고딕" w:hAnsi="맑은 고딕" w:eastAsia="맑은 고딕" w:cs="맑은 고딕"/>
          <w:color w:val="444444"/>
          <w:sz w:val="18"/>
        </w:rPr>
        <w:t>7) 2016~2024년 17개 시도 연간 패널로 ① 특화산업 부가가치 비중, ② 산업집중도, ③ 산업구조 변화속도가 지역경제 성장에 미친 영향을 분석했다. 모형은 &lt;참고 4&gt;.</w:t>
      </w:r>
    </w:p>
    <w:p>
      <w:pPr>
        <w:pStyle w:val="Heading2"/>
      </w:pPr>
      <w:r>
        <w:rPr>
          <w:rFonts w:ascii="맑은 고딕" w:hAnsi="맑은 고딕" w:eastAsia="맑은 고딕" w:cs="맑은 고딕"/>
        </w:rPr>
        <w:t>참고 4. 분석 방법 및 데이터</w:t>
      </w:r>
    </w:p>
    <w:p>
      <w:r>
        <w:rPr>
          <w:rFonts w:ascii="맑은 고딕" w:hAnsi="맑은 고딕" w:eastAsia="맑은 고딕" w:cs="맑은 고딕"/>
          <w:b/>
        </w:rPr>
        <w:t>1. 인적자본이 포함된 신고전학파 성장모형을 참고해 산업구조와 경제성장 간 관계를 추정했다.</w:t>
      </w:r>
      <w:r>
        <w:rPr>
          <w:rFonts w:ascii="맑은 고딕" w:hAnsi="맑은 고딕" w:eastAsia="맑은 고딕" w:cs="맑은 고딕"/>
        </w:rPr>
        <w:t xml:space="preserve"> 지역 생산함수를 콥-더글라스 형태로 가정하고 양변에 자연로그를 취해 패널 추정식 Δln Y(it) = β0 + β1 Struc(it) + β2 Δln L(it) + η(i) + τ(t) + ε(it) 를 도출했다. Y 는 성장 변수(실질 GRDP·노동생산성), Struc 은 산업구조 변수(특화산업 비중·산업집중도 증가율·산업구조 변화속도), L 은 경제활동인구다.</w:t>
      </w:r>
    </w:p>
    <w:p>
      <w:r>
        <w:rPr>
          <w:rFonts w:ascii="맑은 고딕" w:hAnsi="맑은 고딕" w:eastAsia="맑은 고딕" w:cs="맑은 고딕"/>
          <w:b/>
        </w:rPr>
        <w:t>2. 누락변수 편의와 지역 고유효과를 통제하기 위해 지역·연도 고정효과 모형을 썼다.</w:t>
      </w:r>
      <w:r>
        <w:rPr>
          <w:rFonts w:ascii="맑은 고딕" w:hAnsi="맑은 고딕" w:eastAsia="맑은 고딕" w:cs="맑은 고딕"/>
        </w:rPr>
        <w:t xml:space="preserve"> i 는 시도, t 는 연도이며 η 는 시도 고정효과, τ 는 연도 고정효과, ε 은 오차항이다. 원보고서의 통제변수인 전력사용량과 대졸자수는 확보한 자료에 없어 넣지 않았다.</w:t>
      </w:r>
    </w:p>
    <w:p>
      <w:r>
        <w:rPr>
          <w:rFonts w:ascii="맑은 고딕" w:hAnsi="맑은 고딕" w:eastAsia="맑은 고딕" w:cs="맑은 고딕"/>
          <w:b/>
        </w:rPr>
        <w:t>3. 데이터는 국가데이터처의 연간 「지역소득」(시도·경제활동별 총부가가치·지역내총생산, 명목·실질)과 「경제활동인구조사」(시도별 취업자·경제활동인구), 「지역별고용조사」(시도·산업별 취업자), 「서비스업동향조사」(시도별 소매판매액지수), 행정안전부 「주민등록인구현황」(시도별 총인구수), 관세청 「기업무역활동통계」(지역별 수출현황)다.</w:t>
      </w:r>
      <w:r>
        <w:rPr>
          <w:rFonts w:ascii="맑은 고딕" w:hAnsi="맑은 고딕" w:eastAsia="맑은 고딕" w:cs="맑은 고딕"/>
        </w:rPr>
        <w:t xml:space="preserve"> 원보고서가 쓴 분기 지역경기상황지수 대신 공표된 연간 자료를 썼으므로 관측치는 151개(17개 시도 × 9년, 세종 일부 결측)이고, 수출은 자료가 2016년부터 있어 135개다.</w:t>
      </w:r>
    </w:p>
    <w:p>
      <w:pPr>
        <w:pStyle w:val="Heading1"/>
      </w:pPr>
      <w:r>
        <w:rPr>
          <w:rFonts w:ascii="맑은 고딕" w:hAnsi="맑은 고딕" w:eastAsia="맑은 고딕" w:cs="맑은 고딕"/>
        </w:rPr>
        <w:t>Ⅳ. 요약 및 시사점</w:t>
      </w:r>
    </w:p>
    <w:p>
      <w:r>
        <w:rPr>
          <w:rFonts w:ascii="맑은 고딕" w:hAnsi="맑은 고딕" w:eastAsia="맑은 고딕" w:cs="맑은 고딕"/>
          <w:b/>
        </w:rPr>
        <w:t>[ 요 약 ]</w:t>
      </w:r>
    </w:p>
    <w:p>
      <w:r>
        <w:rPr>
          <w:rFonts w:ascii="맑은 고딕" w:hAnsi="맑은 고딕" w:eastAsia="맑은 고딕" w:cs="맑은 고딕"/>
          <w:b/>
        </w:rPr>
        <w:t>1. 이 보고서는 지역 산업구조의 특성이 경제성장에 미치는 효과를 특화 수준, 산업집중도, 산업구조 변화속도를 중심으로 분석했다.</w:t>
      </w:r>
      <w:r>
        <w:rPr>
          <w:rFonts w:ascii="맑은 고딕" w:hAnsi="맑은 고딕" w:eastAsia="맑은 고딕" w:cs="맑은 고딕"/>
        </w:rPr>
        <w:t xml:space="preserve"> 17개 시도 비교에서 산업집중도의 상승은 GRDP·노동생산성·수출 증가와 양(+)의 관계를 보였고, 고부가 산업으로의 변화속도가 빠른 지역이 성장률·노동생산성 증가율이 높았다. 전산업 변화속도는 GRDP·노동생산성과 뚜렷한 관계가 없었고 수출 증가율과만 양(+)의 관계가 있었다.</w:t>
      </w:r>
    </w:p>
    <w:p>
      <w:r>
        <w:rPr>
          <w:rFonts w:ascii="맑은 고딕" w:hAnsi="맑은 고딕" w:eastAsia="맑은 고딕" w:cs="맑은 고딕"/>
          <w:b/>
        </w:rPr>
        <w:t>2. 대구는 산업집중도가 낮고 하락 중이며, 특화산업이 금융·보험을 빼면 고부가 부문과 겹치지 않고, 고부가 부문으로의 변화속도가 평균보다 낮은 상태로 계산된다.</w:t>
      </w:r>
      <w:r>
        <w:rPr>
          <w:rFonts w:ascii="맑은 고딕" w:hAnsi="맑은 고딕" w:eastAsia="맑은 고딕" w:cs="맑은 고딕"/>
        </w:rPr>
        <w:t xml:space="preserve"> 대구는 연평균 GRDP 성장률(1.15%)과 노동생산성 증가율(1.55%)이 전국(2.47%·1.59%)보다 낮은 가운데 산업집중도(619)는 17개 시도 중 16번째이고, 특화산업은 섬유·의복·가죽, 보건·사회복지, 교육 등이며 고부가 3부문 비중(14.0%)과 고부가 변화속도(0.0036)는 전국 평균(20.2%·0.0045)을 밑돈다.</w:t>
      </w:r>
    </w:p>
    <w:p>
      <w:r>
        <w:rPr>
          <w:rFonts w:ascii="맑은 고딕" w:hAnsi="맑은 고딕" w:eastAsia="맑은 고딕" w:cs="맑은 고딕"/>
          <w:b/>
        </w:rPr>
        <w:t>표 4-1. 지역 산업구조 특성이 경제성장에 미치는 영향(자체 추정)</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E8ECF2"/>
          </w:tcPr>
          <w:p>
            <w:pPr>
              <w:spacing w:after="0" w:line="276" w:lineRule="auto"/>
              <w:jc w:val="center"/>
            </w:pPr>
            <w:r>
              <w:rPr>
                <w:rFonts w:ascii="맑은 고딕" w:hAnsi="맑은 고딕" w:eastAsia="맑은 고딕" w:cs="맑은 고딕"/>
                <w:b/>
                <w:sz w:val="18"/>
              </w:rPr>
              <w:t>구분</w:t>
            </w:r>
          </w:p>
        </w:tc>
        <w:tc>
          <w:tcPr>
            <w:tcW w:type="dxa" w:w="3137"/>
            <w:shd w:val="clear" w:color="auto" w:fill="E8ECF2"/>
          </w:tcPr>
          <w:p>
            <w:pPr>
              <w:spacing w:after="0" w:line="276" w:lineRule="auto"/>
              <w:jc w:val="center"/>
            </w:pPr>
            <w:r>
              <w:rPr>
                <w:rFonts w:ascii="맑은 고딕" w:hAnsi="맑은 고딕" w:eastAsia="맑은 고딕" w:cs="맑은 고딕"/>
                <w:b/>
                <w:sz w:val="18"/>
              </w:rPr>
              <w:t>+ 집적·규모의 경제</w:t>
            </w:r>
          </w:p>
        </w:tc>
        <w:tc>
          <w:tcPr>
            <w:tcW w:type="dxa" w:w="3137"/>
            <w:shd w:val="clear" w:color="auto" w:fill="E8ECF2"/>
          </w:tcPr>
          <w:p>
            <w:pPr>
              <w:spacing w:after="0" w:line="276" w:lineRule="auto"/>
              <w:jc w:val="center"/>
            </w:pPr>
            <w:r>
              <w:rPr>
                <w:rFonts w:ascii="맑은 고딕" w:hAnsi="맑은 고딕" w:eastAsia="맑은 고딕" w:cs="맑은 고딕"/>
                <w:b/>
                <w:sz w:val="18"/>
              </w:rPr>
              <w:t>전환의 마찰적 비용(원보고서)</w:t>
            </w:r>
          </w:p>
        </w:tc>
      </w:tr>
      <w:tr>
        <w:tc>
          <w:tcPr>
            <w:tcW w:type="dxa" w:w="3137"/>
          </w:tcPr>
          <w:p>
            <w:pPr>
              <w:spacing w:after="0" w:line="276" w:lineRule="auto"/>
            </w:pPr>
            <w:r>
              <w:rPr>
                <w:rFonts w:ascii="맑은 고딕" w:hAnsi="맑은 고딕" w:eastAsia="맑은 고딕" w:cs="맑은 고딕"/>
                <w:sz w:val="18"/>
              </w:rPr>
              <w:t>지표</w:t>
            </w:r>
          </w:p>
        </w:tc>
        <w:tc>
          <w:tcPr>
            <w:tcW w:type="dxa" w:w="3137"/>
          </w:tcPr>
          <w:p>
            <w:pPr>
              <w:spacing w:after="0" w:line="276" w:lineRule="auto"/>
            </w:pPr>
            <w:r>
              <w:rPr>
                <w:rFonts w:ascii="맑은 고딕" w:hAnsi="맑은 고딕" w:eastAsia="맑은 고딕" w:cs="맑은 고딕"/>
                <w:sz w:val="18"/>
              </w:rPr>
              <w:t>산업집중도 상승</w:t>
            </w:r>
          </w:p>
        </w:tc>
        <w:tc>
          <w:tcPr>
            <w:tcW w:type="dxa" w:w="3137"/>
          </w:tcPr>
          <w:p>
            <w:pPr>
              <w:spacing w:after="0" w:line="276" w:lineRule="auto"/>
            </w:pPr>
            <w:r>
              <w:rPr>
                <w:rFonts w:ascii="맑은 고딕" w:hAnsi="맑은 고딕" w:eastAsia="맑은 고딕" w:cs="맑은 고딕"/>
                <w:sz w:val="18"/>
              </w:rPr>
              <w:t>산업구조 변화속도 상승</w:t>
            </w:r>
          </w:p>
        </w:tc>
      </w:tr>
      <w:tr>
        <w:tc>
          <w:tcPr>
            <w:tcW w:type="dxa" w:w="3137"/>
          </w:tcPr>
          <w:p>
            <w:pPr>
              <w:spacing w:after="0" w:line="276" w:lineRule="auto"/>
            </w:pPr>
            <w:r>
              <w:rPr>
                <w:rFonts w:ascii="맑은 고딕" w:hAnsi="맑은 고딕" w:eastAsia="맑은 고딕" w:cs="맑은 고딕"/>
                <w:sz w:val="18"/>
              </w:rPr>
              <w:t>경로</w:t>
            </w:r>
          </w:p>
        </w:tc>
        <w:tc>
          <w:tcPr>
            <w:tcW w:type="dxa" w:w="3137"/>
          </w:tcPr>
          <w:p>
            <w:pPr>
              <w:spacing w:after="0" w:line="276" w:lineRule="auto"/>
            </w:pPr>
            <w:r>
              <w:rPr>
                <w:rFonts w:ascii="맑은 고딕" w:hAnsi="맑은 고딕" w:eastAsia="맑은 고딕" w:cs="맑은 고딕"/>
                <w:sz w:val="18"/>
              </w:rPr>
              <w:t>지식의 파급효과 · 물류·거래비용 절감 · 인구 유입 촉진</w:t>
            </w:r>
          </w:p>
        </w:tc>
        <w:tc>
          <w:tcPr>
            <w:tcW w:type="dxa" w:w="3137"/>
          </w:tcPr>
          <w:p>
            <w:pPr>
              <w:spacing w:after="0" w:line="276" w:lineRule="auto"/>
            </w:pPr>
            <w:r>
              <w:rPr>
                <w:rFonts w:ascii="맑은 고딕" w:hAnsi="맑은 고딕" w:eastAsia="맑은 고딕" w:cs="맑은 고딕"/>
                <w:sz w:val="18"/>
              </w:rPr>
              <w:t>일시적 실업 · 숙련도 하락 · 유휴설비 발생</w:t>
            </w:r>
          </w:p>
        </w:tc>
      </w:tr>
      <w:tr>
        <w:tc>
          <w:tcPr>
            <w:tcW w:type="dxa" w:w="3137"/>
          </w:tcPr>
          <w:p>
            <w:pPr>
              <w:spacing w:after="0" w:line="276" w:lineRule="auto"/>
            </w:pPr>
            <w:r>
              <w:rPr>
                <w:rFonts w:ascii="맑은 고딕" w:hAnsi="맑은 고딕" w:eastAsia="맑은 고딕" w:cs="맑은 고딕"/>
                <w:sz w:val="18"/>
              </w:rPr>
              <w:t>결과</w:t>
            </w:r>
          </w:p>
        </w:tc>
        <w:tc>
          <w:tcPr>
            <w:tcW w:type="dxa" w:w="3137"/>
          </w:tcPr>
          <w:p>
            <w:pPr>
              <w:spacing w:after="0" w:line="276" w:lineRule="auto"/>
            </w:pPr>
            <w:r>
              <w:rPr>
                <w:rFonts w:ascii="맑은 고딕" w:hAnsi="맑은 고딕" w:eastAsia="맑은 고딕" w:cs="맑은 고딕"/>
                <w:sz w:val="18"/>
              </w:rPr>
              <w:t>GRDP·노동생산성·수출에 양(+) 유의</w:t>
            </w:r>
          </w:p>
        </w:tc>
        <w:tc>
          <w:tcPr>
            <w:tcW w:type="dxa" w:w="3137"/>
          </w:tcPr>
          <w:p>
            <w:pPr>
              <w:spacing w:after="0" w:line="276" w:lineRule="auto"/>
            </w:pPr>
            <w:r>
              <w:rPr>
                <w:rFonts w:ascii="맑은 고딕" w:hAnsi="맑은 고딕" w:eastAsia="맑은 고딕" w:cs="맑은 고딕"/>
                <w:sz w:val="18"/>
              </w:rPr>
              <w:t>GRDP·노동생산성에는 유의하지 않음, 수출에는 양(+) 유의</w:t>
            </w:r>
          </w:p>
        </w:tc>
      </w:tr>
    </w:tbl>
    <w:p/>
    <w:p>
      <w:r>
        <w:rPr>
          <w:rFonts w:ascii="맑은 고딕" w:hAnsi="맑은 고딕" w:eastAsia="맑은 고딕" w:cs="맑은 고딕"/>
          <w:b/>
        </w:rPr>
        <w:t>표 4-2. 대구의 산업구조 지표(자체 계산)</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E8ECF2"/>
          </w:tcPr>
          <w:p>
            <w:pPr>
              <w:spacing w:after="0" w:line="276" w:lineRule="auto"/>
              <w:jc w:val="center"/>
            </w:pPr>
            <w:r>
              <w:rPr>
                <w:rFonts w:ascii="맑은 고딕" w:hAnsi="맑은 고딕" w:eastAsia="맑은 고딕" w:cs="맑은 고딕"/>
                <w:b/>
                <w:sz w:val="18"/>
              </w:rPr>
              <w:t>특성</w:t>
            </w:r>
          </w:p>
        </w:tc>
        <w:tc>
          <w:tcPr>
            <w:tcW w:type="dxa" w:w="4706"/>
            <w:shd w:val="clear" w:color="auto" w:fill="E8ECF2"/>
          </w:tcPr>
          <w:p>
            <w:pPr>
              <w:spacing w:after="0" w:line="276" w:lineRule="auto"/>
              <w:jc w:val="center"/>
            </w:pPr>
            <w:r>
              <w:rPr>
                <w:rFonts w:ascii="맑은 고딕" w:hAnsi="맑은 고딕" w:eastAsia="맑은 고딕" w:cs="맑은 고딕"/>
                <w:b/>
                <w:sz w:val="18"/>
              </w:rPr>
              <w:t>대구 값</w:t>
            </w:r>
          </w:p>
        </w:tc>
      </w:tr>
      <w:tr>
        <w:tc>
          <w:tcPr>
            <w:tcW w:type="dxa" w:w="4706"/>
          </w:tcPr>
          <w:p>
            <w:pPr>
              <w:spacing w:after="0" w:line="276" w:lineRule="auto"/>
            </w:pPr>
            <w:r>
              <w:rPr>
                <w:rFonts w:ascii="맑은 고딕" w:hAnsi="맑은 고딕" w:eastAsia="맑은 고딕" w:cs="맑은 고딕"/>
                <w:sz w:val="18"/>
              </w:rPr>
              <w:t>특화수준</w:t>
            </w:r>
          </w:p>
        </w:tc>
        <w:tc>
          <w:tcPr>
            <w:tcW w:type="dxa" w:w="4706"/>
          </w:tcPr>
          <w:p>
            <w:pPr>
              <w:spacing w:after="0" w:line="276" w:lineRule="auto"/>
            </w:pPr>
            <w:r>
              <w:rPr>
                <w:rFonts w:ascii="맑은 고딕" w:hAnsi="맑은 고딕" w:eastAsia="맑은 고딕" w:cs="맑은 고딕"/>
                <w:sz w:val="18"/>
              </w:rPr>
              <w:t>섬유·의복·가죽(2.41)·보건·사회복지(1.70)·교육(1.59) 특화, 고부가 3부문 중 금융·보험만 1 초과</w:t>
            </w:r>
          </w:p>
        </w:tc>
      </w:tr>
      <w:tr>
        <w:tc>
          <w:tcPr>
            <w:tcW w:type="dxa" w:w="4706"/>
          </w:tcPr>
          <w:p>
            <w:pPr>
              <w:spacing w:after="0" w:line="276" w:lineRule="auto"/>
            </w:pPr>
            <w:r>
              <w:rPr>
                <w:rFonts w:ascii="맑은 고딕" w:hAnsi="맑은 고딕" w:eastAsia="맑은 고딕" w:cs="맑은 고딕"/>
                <w:sz w:val="18"/>
              </w:rPr>
              <w:t>산업집중도</w:t>
            </w:r>
          </w:p>
        </w:tc>
        <w:tc>
          <w:tcPr>
            <w:tcW w:type="dxa" w:w="4706"/>
          </w:tcPr>
          <w:p>
            <w:pPr>
              <w:spacing w:after="0" w:line="276" w:lineRule="auto"/>
            </w:pPr>
            <w:r>
              <w:rPr>
                <w:rFonts w:ascii="맑은 고딕" w:hAnsi="맑은 고딕" w:eastAsia="맑은 고딕" w:cs="맑은 고딕"/>
                <w:sz w:val="18"/>
              </w:rPr>
              <w:t>619, 17개 시도 중 16번째, 2015~24년 연평균 -0.40%</w:t>
            </w:r>
          </w:p>
        </w:tc>
      </w:tr>
      <w:tr>
        <w:tc>
          <w:tcPr>
            <w:tcW w:type="dxa" w:w="4706"/>
          </w:tcPr>
          <w:p>
            <w:pPr>
              <w:spacing w:after="0" w:line="276" w:lineRule="auto"/>
            </w:pPr>
            <w:r>
              <w:rPr>
                <w:rFonts w:ascii="맑은 고딕" w:hAnsi="맑은 고딕" w:eastAsia="맑은 고딕" w:cs="맑은 고딕"/>
                <w:sz w:val="18"/>
              </w:rPr>
              <w:t>변화속도</w:t>
            </w:r>
          </w:p>
        </w:tc>
        <w:tc>
          <w:tcPr>
            <w:tcW w:type="dxa" w:w="4706"/>
          </w:tcPr>
          <w:p>
            <w:pPr>
              <w:spacing w:after="0" w:line="276" w:lineRule="auto"/>
            </w:pPr>
            <w:r>
              <w:rPr>
                <w:rFonts w:ascii="맑은 고딕" w:hAnsi="맑은 고딕" w:eastAsia="맑은 고딕" w:cs="맑은 고딕"/>
                <w:sz w:val="18"/>
              </w:rPr>
              <w:t>전산업 0.0239(평균 0.0294), 고부가 0.0036(평균 0.0045)</w:t>
            </w:r>
          </w:p>
        </w:tc>
      </w:tr>
      <w:tr>
        <w:tc>
          <w:tcPr>
            <w:tcW w:type="dxa" w:w="4706"/>
          </w:tcPr>
          <w:p>
            <w:pPr>
              <w:spacing w:after="0" w:line="276" w:lineRule="auto"/>
            </w:pPr>
            <w:r>
              <w:rPr>
                <w:rFonts w:ascii="맑은 고딕" w:hAnsi="맑은 고딕" w:eastAsia="맑은 고딕" w:cs="맑은 고딕"/>
                <w:sz w:val="18"/>
              </w:rPr>
              <w:t>성과</w:t>
            </w:r>
          </w:p>
        </w:tc>
        <w:tc>
          <w:tcPr>
            <w:tcW w:type="dxa" w:w="4706"/>
          </w:tcPr>
          <w:p>
            <w:pPr>
              <w:spacing w:after="0" w:line="276" w:lineRule="auto"/>
            </w:pPr>
            <w:r>
              <w:rPr>
                <w:rFonts w:ascii="맑은 고딕" w:hAnsi="맑은 고딕" w:eastAsia="맑은 고딕" w:cs="맑은 고딕"/>
                <w:sz w:val="18"/>
              </w:rPr>
              <w:t>GRDP 1.15%·노동생산성 1.55%·주민등록인구 -0.57%(2015~24년 연평균)</w:t>
            </w:r>
          </w:p>
        </w:tc>
      </w:tr>
    </w:tbl>
    <w:p/>
    <w:p>
      <w:r>
        <w:rPr>
          <w:rFonts w:ascii="맑은 고딕" w:hAnsi="맑은 고딕" w:eastAsia="맑은 고딕" w:cs="맑은 고딕"/>
          <w:b/>
        </w:rPr>
        <w:t>[ 전 국 — 본보고서의 시사점 ]</w:t>
      </w:r>
    </w:p>
    <w:p>
      <w:pPr>
        <w:pStyle w:val="ListBullet"/>
      </w:pPr>
      <w:r>
        <w:rPr>
          <w:rFonts w:ascii="맑은 고딕" w:hAnsi="맑은 고딕" w:eastAsia="맑은 고딕" w:cs="맑은 고딕"/>
        </w:rPr>
        <w:t>높은 부가가치 창출력을 가진 '핵심 특화산업'으로 자원을 집중하여 산업구조를 고도화</w:t>
      </w:r>
    </w:p>
    <w:p>
      <w:pPr>
        <w:pStyle w:val="ListBullet"/>
      </w:pPr>
      <w:r>
        <w:rPr>
          <w:rFonts w:ascii="맑은 고딕" w:hAnsi="맑은 고딕" w:eastAsia="맑은 고딕" w:cs="맑은 고딕"/>
        </w:rPr>
        <w:t>전·후방 밸류체인 밀집 등을 통해 고부가 특화산업의 파급효과를 극대화</w:t>
      </w:r>
    </w:p>
    <w:p>
      <w:pPr>
        <w:pStyle w:val="ListBullet"/>
      </w:pPr>
      <w:r>
        <w:rPr>
          <w:rFonts w:ascii="맑은 고딕" w:hAnsi="맑은 고딕" w:eastAsia="맑은 고딕" w:cs="맑은 고딕"/>
        </w:rPr>
        <w:t>산업구조 재편 과정에서의 충격 완화를 위한 연착륙 지원정책 마련</w:t>
      </w:r>
    </w:p>
    <w:p>
      <w:r>
        <w:rPr>
          <w:rFonts w:ascii="맑은 고딕" w:hAnsi="맑은 고딕" w:eastAsia="맑은 고딕" w:cs="맑은 고딕"/>
          <w:b/>
        </w:rPr>
        <w:t>3. 유관기관은 산업구조 고도화를 위해 부가가치 창출력이 높은 '핵심 특화산업'으로 자원을 집중하는 방향을 검토할 수 있다.</w:t>
      </w:r>
      <w:r>
        <w:rPr>
          <w:rFonts w:ascii="맑은 고딕" w:hAnsi="맑은 고딕" w:eastAsia="맑은 고딕" w:cs="맑은 고딕"/>
        </w:rPr>
        <w:t xml:space="preserve"> 앞의 추정에서 산업집중도 상승은 지역 GRDP 와 노동생산성을 유의하게 높였고, 특화산업이 고착된 지역일수록 2015~24년 성장률이 낮은 경향(상관계수 -0.35)이 있었다.</w:t>
      </w:r>
    </w:p>
    <w:p>
      <w:r>
        <w:rPr>
          <w:rFonts w:ascii="맑은 고딕" w:hAnsi="맑은 고딕" w:eastAsia="맑은 고딕" w:cs="맑은 고딕"/>
          <w:b/>
        </w:rPr>
        <w:t>4. 둘째, 핵심 특화산업의 파급효과를 키우기 위해 전·후방 밸류체인을 지역 내에 밀집시키는 방향으로 산업집중도를 끌어올리는 방안이 있다.</w:t>
      </w:r>
      <w:r>
        <w:rPr>
          <w:rFonts w:ascii="맑은 고딕" w:hAnsi="맑은 고딕" w:eastAsia="맑은 고딕" w:cs="맑은 고딕"/>
        </w:rPr>
        <w:t xml:space="preserve"> 여러 산업에 고르게 나누기보다 특화산업 위주로 역량을 모으는 쪽이 산업집중도 효과 추정의 함의다.</w:t>
      </w:r>
    </w:p>
    <w:p>
      <w:r>
        <w:rPr>
          <w:rFonts w:ascii="맑은 고딕" w:hAnsi="맑은 고딕" w:eastAsia="맑은 고딕" w:cs="맑은 고딕"/>
          <w:b/>
        </w:rPr>
        <w:t>5. 마지막으로 산업구조 재편 과정에서 발생하는 충격을 완화하기 위한 연착륙 지원정책이 함께 검토될 수 있다.</w:t>
      </w:r>
      <w:r>
        <w:rPr>
          <w:rFonts w:ascii="맑은 고딕" w:hAnsi="맑은 고딕" w:eastAsia="맑은 고딕" w:cs="맑은 고딕"/>
        </w:rPr>
        <w:t xml:space="preserve"> 연간 자료에서는 변화속도의 단기 비용이 확인되지 않았으나, 사양산업 근로자의 직무 전환과 사업전환 지원은 원보고서와 공통되는 검토 항목이다.</w:t>
      </w:r>
    </w:p>
    <w:p>
      <w:r>
        <w:rPr>
          <w:rFonts w:ascii="맑은 고딕" w:hAnsi="맑은 고딕" w:eastAsia="맑은 고딕" w:cs="맑은 고딕"/>
          <w:b/>
        </w:rPr>
        <w:t>[ 대 구 ]</w:t>
      </w:r>
    </w:p>
    <w:p>
      <w:pPr>
        <w:pStyle w:val="ListBullet"/>
      </w:pPr>
      <w:r>
        <w:rPr>
          <w:rFonts w:ascii="맑은 고딕" w:hAnsi="맑은 고딕" w:eastAsia="맑은 고딕" w:cs="맑은 고딕"/>
        </w:rPr>
        <w:t>고부가 3부문(전기·전자·정밀기기, 정보통신, 금융·보험) 가운데 대구가 축으로 삼을 부문을 표 2-1·그림 2-13·2-21로 확인</w:t>
      </w:r>
    </w:p>
    <w:p>
      <w:pPr>
        <w:pStyle w:val="ListBullet"/>
      </w:pPr>
      <w:r>
        <w:rPr>
          <w:rFonts w:ascii="맑은 고딕" w:hAnsi="맑은 고딕" w:eastAsia="맑은 고딕" w:cs="맑은 고딕"/>
        </w:rPr>
        <w:t>축으로 삼을 부문의 전·후방 기업이 어디에 있는지 기업 사전(산업단지 7,357곳·지식산업센터 974곳·수성알파시티 165곳·연구개발특구 130곳)으로 확인</w:t>
      </w:r>
    </w:p>
    <w:p>
      <w:pPr>
        <w:pStyle w:val="ListBullet"/>
      </w:pPr>
      <w:r>
        <w:rPr>
          <w:rFonts w:ascii="맑은 고딕" w:hAnsi="맑은 고딕" w:eastAsia="맑은 고딕" w:cs="맑은 고딕"/>
        </w:rPr>
        <w:t>재편 과정의 대상 규모(섬유·의복·가죽 부가가치 비중 1.7%, 기업 사전 섬유·패션 그룹 1,716곳)를 연착륙 지원의 출발점으로</w:t>
      </w:r>
    </w:p>
    <w:p>
      <w:r>
        <w:rPr>
          <w:rFonts w:ascii="맑은 고딕" w:hAnsi="맑은 고딕" w:eastAsia="맑은 고딕" w:cs="맑은 고딕"/>
          <w:b/>
        </w:rPr>
        <w:t>6. 대구는 고부가가치 특화산업을 정하는 일이 먼저다.</w:t>
      </w:r>
      <w:r>
        <w:rPr>
          <w:rFonts w:ascii="맑은 고딕" w:hAnsi="맑은 고딕" w:eastAsia="맑은 고딕" w:cs="맑은 고딕"/>
        </w:rPr>
        <w:t xml:space="preserve"> 대구는 부가가치 기준 고부가 3부문 입지계수가 전기·전자·정밀기기 0.41, 정보통신 0.64, 금융·보험 1.19로 아직 특화됐다고 볼 부문이 금융·보험뿐이다. 금융·보험은 지자체 차원에서 육성할 분야에서 제외한다. 제조업 안에서 전기·전자·정밀기기 비중이 14.9%에서 18.2%로 늘고 있으므로, 이 부문과 대구시 신규 사업(표 2-2: 로봇·AI·의료)이 겹치는 곳을 후보로 볼 수 있다. 어느 부문을 축으로 할지는 기업 수·고용·성장률을 같은 잣대로 비교한 뒤 정할 일이며, 그 비교의 출발점이 표 2-1과 그림 2-13·2-21이다.</w:t>
      </w:r>
    </w:p>
    <w:p>
      <w:r>
        <w:rPr>
          <w:rFonts w:ascii="맑은 고딕" w:hAnsi="맑은 고딕" w:eastAsia="맑은 고딕" w:cs="맑은 고딕"/>
          <w:b/>
        </w:rPr>
        <w:t>7. 둘째, 산업집중도를 높이는 방향을 택한다면 집적의 장소를 기업 분포로 정할 수 있다.</w:t>
      </w:r>
      <w:r>
        <w:rPr>
          <w:rFonts w:ascii="맑은 고딕" w:hAnsi="맑은 고딕" w:eastAsia="맑은 고딕" w:cs="맑은 고딕"/>
        </w:rPr>
        <w:t xml:space="preserve"> 대구의 산업집중도는 17개 시도 중 16번째이고 하락 중이다. 기업 사전(월간 통계 2026-07) 기준 산업단지 7,357곳, 지식산업센터 974곳, 수성알파시티 165곳, 연구개발특구 130곳의 분포와 표 2-2의 거점 사업(로봇산업기술혁신센터, 제2임대형지식산업센터)을 겹쳐 보면 축이 될 부문의 전·후방 기업이 어디에 모여 있는지 확인할 수 있다.</w:t>
      </w:r>
    </w:p>
    <w:p>
      <w:r>
        <w:rPr>
          <w:rFonts w:ascii="맑은 고딕" w:hAnsi="맑은 고딕" w:eastAsia="맑은 고딕" w:cs="맑은 고딕"/>
          <w:b/>
        </w:rPr>
        <w:t>8. 셋째, 기존 전통산업의 연착륙이다.</w:t>
      </w:r>
      <w:r>
        <w:rPr>
          <w:rFonts w:ascii="맑은 고딕" w:hAnsi="맑은 고딕" w:eastAsia="맑은 고딕" w:cs="맑은 고딕"/>
        </w:rPr>
        <w:t xml:space="preserve"> 섬유·의복·가죽의 부가가치 비중은 2015년 3.0%에서 2024년 1.7%로 줄었다. 기업 사전의 섬유·패션 그룹은 1,716곳이고, 그중 국민연금 가입 사업장 604곳의 가입자는 9,125명(2026년 7월)이다. 연착륙 지원(직무 전환·사업전환)을 설계할 때 이 숫자가 대상 규모의 출발점이다.</w:t>
      </w:r>
    </w:p>
    <w:p>
      <w:pPr>
        <w:pStyle w:val="Heading1"/>
      </w:pPr>
      <w:r>
        <w:t>출처</w:t>
      </w:r>
    </w:p>
    <w:p>
      <w:pPr>
        <w:pStyle w:val="ListNumber"/>
      </w:pPr>
      <w:r>
        <w:rPr>
          <w:rFonts w:ascii="맑은 고딕" w:hAnsi="맑은 고딕" w:eastAsia="맑은 고딕" w:cs="맑은 고딕"/>
          <w:sz w:val="19"/>
        </w:rPr>
        <w:t>국가데이터처, 「지역소득 — 시도별 경제활동별 지역내총생산(명목·실질)」 KOSIS DT_1C91(2014~2024년, 2024년 잠정) — https://kosis.kr/statHtml/statHtml.do?orgId=101&amp;tblId=DT_1C91 (2026-09-28)</w:t>
      </w:r>
    </w:p>
    <w:p>
      <w:pPr>
        <w:pStyle w:val="ListNumber"/>
      </w:pPr>
      <w:r>
        <w:rPr>
          <w:rFonts w:ascii="맑은 고딕" w:hAnsi="맑은 고딕" w:eastAsia="맑은 고딕" w:cs="맑은 고딕"/>
          <w:sz w:val="19"/>
        </w:rPr>
        <w:t>국가데이터처, 「경제활동인구조사 — 행정구역(시도)별 경제활동인구(연간)」 KOSIS DT_1DA7004S — https://kosis.kr/statHtml/statHtml.do?orgId=101&amp;tblId=DT_1DA7004S (2026-09-28)</w:t>
      </w:r>
    </w:p>
    <w:p>
      <w:pPr>
        <w:pStyle w:val="ListNumber"/>
      </w:pPr>
      <w:r>
        <w:rPr>
          <w:rFonts w:ascii="맑은 고딕" w:hAnsi="맑은 고딕" w:eastAsia="맑은 고딕" w:cs="맑은 고딕"/>
          <w:sz w:val="19"/>
        </w:rPr>
        <w:t>국가데이터처, 「전국사업체조사 — 시도·산업·사업체구분별 사업체 수·종사자 수」 KOSIS DT_1K52D01(2023년) — https://kosis.kr/statHtml/statHtml.do?orgId=101&amp;tblId=DT_1K52D01 (2026-09-28)</w:t>
      </w:r>
    </w:p>
    <w:p>
      <w:pPr>
        <w:pStyle w:val="ListNumber"/>
      </w:pPr>
      <w:r>
        <w:rPr>
          <w:rFonts w:ascii="맑은 고딕" w:hAnsi="맑은 고딕" w:eastAsia="맑은 고딕" w:cs="맑은 고딕"/>
          <w:sz w:val="19"/>
        </w:rPr>
        <w:t>국가데이터처, 「지역별고용조사 — 시도/산업별 취업자(반기)」 KOSIS DT_1ES3B05S(2014~2024년 상반기) — https://kosis.kr/statHtml/statHtml.do?orgId=101&amp;tblId=DT_1ES3B05S (2026-09-28)</w:t>
      </w:r>
    </w:p>
    <w:p>
      <w:pPr>
        <w:pStyle w:val="ListNumber"/>
      </w:pPr>
      <w:r>
        <w:rPr>
          <w:rFonts w:ascii="맑은 고딕" w:hAnsi="맑은 고딕" w:eastAsia="맑은 고딕" w:cs="맑은 고딕"/>
          <w:sz w:val="19"/>
        </w:rPr>
        <w:t>행정안전부, 「주민등록인구현황 — 행정구역(시군구)별 성별 인구수」 KOSIS DT_1B040A3(2014~2025년) — https://kosis.kr/statHtml/statHtml.do?orgId=101&amp;tblId=DT_1B040A3 (2026-09-28)</w:t>
      </w:r>
    </w:p>
    <w:p>
      <w:pPr>
        <w:pStyle w:val="ListNumber"/>
      </w:pPr>
      <w:r>
        <w:rPr>
          <w:rFonts w:ascii="맑은 고딕" w:hAnsi="맑은 고딕" w:eastAsia="맑은 고딕" w:cs="맑은 고딕"/>
          <w:sz w:val="19"/>
        </w:rPr>
        <w:t>국가데이터처, 「서비스업동향조사 — 시도별 소매판매액지수(2020=100)」 KOSIS DT_1K41018(2014~2025년) — https://kosis.kr/statHtml/statHtml.do?orgId=101&amp;tblId=DT_1K41018 (2026-09-28)</w:t>
      </w:r>
    </w:p>
    <w:p>
      <w:pPr>
        <w:pStyle w:val="ListNumber"/>
      </w:pPr>
      <w:r>
        <w:rPr>
          <w:rFonts w:ascii="맑은 고딕" w:hAnsi="맑은 고딕" w:eastAsia="맑은 고딕" w:cs="맑은 고딕"/>
          <w:sz w:val="19"/>
        </w:rPr>
        <w:t>관세청, 「기업무역활동통계 — 지역별 수출현황」 KOSIS DT_134006_N007(2016~2025년) — https://kosis.kr/statHtml/statHtml.do?orgId=134&amp;tblId=DT_134006_N007 (2026-09-28)</w:t>
      </w:r>
    </w:p>
    <w:p>
      <w:pPr>
        <w:pStyle w:val="ListNumber"/>
      </w:pPr>
      <w:r>
        <w:rPr>
          <w:rFonts w:ascii="맑은 고딕" w:hAnsi="맑은 고딕" w:eastAsia="맑은 고딕" w:cs="맑은 고딕"/>
          <w:sz w:val="19"/>
        </w:rPr>
        <w:t>대구광역시, 「2026년도 본예산 사업설명서」(사업명·부서·신규 여부만, 사업 DB) — https://note.daitda.co.kr/programs/daegu/ (2026-09-28)</w:t>
      </w:r>
    </w:p>
    <w:p>
      <w:pPr>
        <w:pStyle w:val="ListNumber"/>
      </w:pPr>
      <w:r>
        <w:rPr>
          <w:rFonts w:ascii="맑은 고딕" w:hAnsi="맑은 고딕" w:eastAsia="맑은 고딕" w:cs="맑은 고딕"/>
          <w:sz w:val="19"/>
        </w:rPr>
        <w:t>「KOSIS 통계표 — 산업구조 지표」 자체 계산 결과(structure_index.csv·structure_report.json) — https://note.daitda.co.kr/stats/kosis/ (2026-09-30)</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맑은 고딕" w:hAnsi="맑은 고딕" w:eastAsia="맑은 고딕" w:cs="맑은 고딕"/>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맑은 고딕" w:hAnsi="맑은 고딕" w:eastAsia="맑은 고딕" w:cs="맑은 고딕"/>
      <w:b/>
      <w:bCs/>
      <w:color w:val="1A1A1A"/>
      <w:sz w:val="3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맑은 고딕" w:hAnsi="맑은 고딕" w:eastAsia="맑은 고딕" w:cs="맑은 고딕"/>
      <w:b/>
      <w:bCs/>
      <w:color w:val="1A1A1A"/>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맑은 고딕" w:hAnsi="맑은 고딕" w:eastAsia="맑은 고딕" w:cs="맑은 고딕"/>
      <w:b/>
      <w:bCs/>
      <w:color w:val="1A1A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80"/>
      <w:contextualSpacing/>
    </w:pPr>
    <w:rPr>
      <w:rFonts w:ascii="맑은 고딕" w:hAnsi="맑은 고딕" w:eastAsia="맑은 고딕" w:cs="맑은 고딕"/>
      <w:b/>
      <w:color w:val="1A1A1A"/>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맑은 고딕" w:hAnsi="맑은 고딕" w:eastAsia="맑은 고딕" w:cs="맑은 고딕"/>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맑은 고딕" w:hAnsi="맑은 고딕" w:eastAsia="맑은 고딕" w:cs="맑은 고딕"/>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맑은 고딕" w:hAnsi="맑은 고딕" w:eastAsia="맑은 고딕" w:cs="맑은 고딕"/>
      <w:b/>
      <w:bCs/>
      <w:i w:val="0"/>
      <w:color w:val="444444"/>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